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85"/>
        <w:jc w:val="center"/>
        <w:rPr>
          <w:rFonts w:ascii="宋体" w:hAnsi="宋体"/>
          <w:b/>
          <w:sz w:val="30"/>
          <w:szCs w:val="30"/>
        </w:rPr>
      </w:pPr>
      <w:r>
        <w:rPr>
          <w:rFonts w:hint="eastAsia" w:ascii="宋体" w:hAnsi="宋体"/>
          <w:b/>
          <w:sz w:val="30"/>
          <w:szCs w:val="30"/>
        </w:rPr>
        <w:t>中铝中州铝业有限公司</w:t>
      </w:r>
    </w:p>
    <w:p>
      <w:pPr>
        <w:spacing w:line="360" w:lineRule="auto"/>
        <w:ind w:firstLine="585"/>
        <w:jc w:val="center"/>
        <w:rPr>
          <w:rFonts w:ascii="宋体" w:hAnsi="宋体"/>
          <w:b/>
          <w:sz w:val="30"/>
          <w:szCs w:val="30"/>
        </w:rPr>
      </w:pPr>
      <w:r>
        <w:rPr>
          <w:rFonts w:hint="eastAsia" w:ascii="宋体" w:hAnsi="宋体"/>
          <w:b/>
          <w:sz w:val="30"/>
          <w:szCs w:val="30"/>
        </w:rPr>
        <w:t>采购文件</w:t>
      </w:r>
    </w:p>
    <w:p>
      <w:pPr>
        <w:spacing w:line="360" w:lineRule="auto"/>
        <w:jc w:val="left"/>
        <w:rPr>
          <w:rFonts w:ascii="宋体" w:hAnsi="宋体" w:cs="宋体"/>
          <w:kern w:val="0"/>
          <w:sz w:val="24"/>
        </w:rPr>
      </w:pPr>
      <w:r>
        <w:rPr>
          <w:rFonts w:hint="eastAsia" w:ascii="宋体" w:hAnsi="宋体" w:cs="宋体"/>
          <w:kern w:val="0"/>
          <w:sz w:val="24"/>
        </w:rPr>
        <w:t xml:space="preserve">    中铝中州铝业有限公司拟对中州铝业</w:t>
      </w:r>
      <w:r>
        <w:rPr>
          <w:rFonts w:hint="eastAsia" w:ascii="宋体" w:hAnsi="宋体" w:cs="宋体"/>
          <w:b/>
          <w:color w:val="FF0000"/>
          <w:kern w:val="0"/>
          <w:sz w:val="24"/>
        </w:rPr>
        <w:t xml:space="preserve"> </w:t>
      </w:r>
      <w:r>
        <w:rPr>
          <w:rFonts w:hint="eastAsia" w:ascii="宋体" w:hAnsi="宋体" w:cs="宋体"/>
          <w:b/>
          <w:color w:val="FF0000"/>
          <w:kern w:val="0"/>
          <w:sz w:val="24"/>
          <w:lang w:val="en-US" w:eastAsia="zh-CN"/>
        </w:rPr>
        <w:t xml:space="preserve">尿素 </w:t>
      </w:r>
      <w:r>
        <w:rPr>
          <w:rFonts w:hint="eastAsia" w:ascii="宋体" w:hAnsi="宋体" w:cs="宋体"/>
          <w:b w:val="0"/>
          <w:bCs/>
          <w:color w:val="auto"/>
          <w:kern w:val="0"/>
          <w:sz w:val="24"/>
          <w:lang w:val="en-US" w:eastAsia="zh-CN"/>
        </w:rPr>
        <w:t>需求</w:t>
      </w:r>
      <w:r>
        <w:rPr>
          <w:rFonts w:hint="eastAsia" w:ascii="宋体" w:hAnsi="宋体" w:cs="宋体"/>
          <w:color w:val="auto"/>
          <w:kern w:val="0"/>
          <w:sz w:val="24"/>
        </w:rPr>
        <w:t>计划</w:t>
      </w:r>
      <w:r>
        <w:rPr>
          <w:rFonts w:hint="eastAsia" w:ascii="宋体" w:hAnsi="宋体" w:cs="宋体"/>
          <w:kern w:val="0"/>
          <w:sz w:val="24"/>
        </w:rPr>
        <w:t>公开询比，现邀请</w:t>
      </w:r>
      <w:r>
        <w:rPr>
          <w:rFonts w:hint="eastAsia" w:ascii="宋体" w:hAnsi="宋体"/>
          <w:sz w:val="24"/>
        </w:rPr>
        <w:t>有同类项目良好业绩的报价商参加该项目的报价</w:t>
      </w:r>
      <w:r>
        <w:rPr>
          <w:rFonts w:hint="eastAsia" w:ascii="宋体" w:hAnsi="宋体" w:cs="宋体"/>
          <w:kern w:val="0"/>
          <w:sz w:val="24"/>
        </w:rPr>
        <w:t>。</w:t>
      </w:r>
    </w:p>
    <w:p>
      <w:pPr>
        <w:widowControl/>
        <w:spacing w:line="360" w:lineRule="auto"/>
        <w:jc w:val="left"/>
        <w:rPr>
          <w:rFonts w:ascii="宋体" w:hAnsi="宋体" w:cs="宋体"/>
          <w:kern w:val="0"/>
          <w:sz w:val="24"/>
        </w:rPr>
      </w:pPr>
      <w:r>
        <w:rPr>
          <w:rFonts w:hint="eastAsia" w:ascii="宋体" w:hAnsi="宋体" w:cs="宋体"/>
          <w:b/>
          <w:kern w:val="0"/>
          <w:sz w:val="24"/>
        </w:rPr>
        <w:t>1、询价方名称：</w:t>
      </w:r>
      <w:r>
        <w:rPr>
          <w:rFonts w:hint="eastAsia" w:ascii="宋体" w:hAnsi="宋体" w:cs="宋体"/>
          <w:kern w:val="0"/>
          <w:sz w:val="24"/>
        </w:rPr>
        <w:t>中铝中州铝业有限公司</w:t>
      </w:r>
    </w:p>
    <w:p>
      <w:pPr>
        <w:widowControl/>
        <w:spacing w:line="360" w:lineRule="auto"/>
        <w:jc w:val="left"/>
        <w:rPr>
          <w:rFonts w:ascii="宋体" w:hAnsi="宋体" w:cs="宋体"/>
          <w:color w:val="FF0000"/>
          <w:kern w:val="0"/>
          <w:sz w:val="24"/>
        </w:rPr>
      </w:pPr>
      <w:r>
        <w:rPr>
          <w:rFonts w:hint="eastAsia" w:ascii="宋体" w:hAnsi="宋体" w:cs="宋体"/>
          <w:b/>
          <w:kern w:val="0"/>
          <w:sz w:val="24"/>
        </w:rPr>
        <w:t>2、采购编号：</w:t>
      </w:r>
      <w:r>
        <w:rPr>
          <w:rFonts w:ascii="宋体" w:hAnsi="宋体" w:cs="宋体"/>
          <w:color w:val="FF0000"/>
          <w:kern w:val="0"/>
          <w:sz w:val="24"/>
        </w:rPr>
        <w:t>CG202</w:t>
      </w:r>
      <w:r>
        <w:rPr>
          <w:rFonts w:hint="eastAsia" w:ascii="宋体" w:hAnsi="宋体" w:cs="宋体"/>
          <w:color w:val="FF0000"/>
          <w:kern w:val="0"/>
          <w:sz w:val="24"/>
          <w:lang w:val="en-US" w:eastAsia="zh-CN"/>
        </w:rPr>
        <w:t>2</w:t>
      </w:r>
      <w:r>
        <w:rPr>
          <w:rFonts w:ascii="宋体" w:hAnsi="宋体" w:cs="宋体"/>
          <w:color w:val="FF0000"/>
          <w:kern w:val="0"/>
          <w:sz w:val="24"/>
        </w:rPr>
        <w:t>-</w:t>
      </w:r>
      <w:r>
        <w:rPr>
          <w:rFonts w:hint="eastAsia" w:ascii="宋体" w:hAnsi="宋体" w:cs="宋体"/>
          <w:color w:val="FF0000"/>
          <w:kern w:val="0"/>
          <w:sz w:val="24"/>
        </w:rPr>
        <w:t>0</w:t>
      </w:r>
      <w:r>
        <w:rPr>
          <w:rFonts w:hint="eastAsia" w:ascii="宋体" w:hAnsi="宋体" w:cs="宋体"/>
          <w:color w:val="FF0000"/>
          <w:kern w:val="0"/>
          <w:sz w:val="24"/>
          <w:lang w:val="en-US" w:eastAsia="zh-CN"/>
        </w:rPr>
        <w:t>3</w:t>
      </w:r>
      <w:r>
        <w:rPr>
          <w:rFonts w:hint="eastAsia" w:ascii="宋体" w:hAnsi="宋体" w:cs="宋体"/>
          <w:color w:val="FF0000"/>
          <w:kern w:val="0"/>
          <w:sz w:val="24"/>
        </w:rPr>
        <w:t>-</w:t>
      </w:r>
      <w:r>
        <w:rPr>
          <w:rFonts w:ascii="宋体" w:hAnsi="宋体" w:cs="宋体"/>
          <w:color w:val="FF0000"/>
          <w:kern w:val="0"/>
          <w:sz w:val="24"/>
        </w:rPr>
        <w:t>YXZX-FC-</w:t>
      </w:r>
      <w:r>
        <w:rPr>
          <w:rFonts w:hint="eastAsia" w:ascii="宋体" w:hAnsi="宋体" w:cs="宋体"/>
          <w:color w:val="FF0000"/>
          <w:kern w:val="0"/>
          <w:sz w:val="24"/>
        </w:rPr>
        <w:t>0</w:t>
      </w:r>
      <w:r>
        <w:rPr>
          <w:rFonts w:hint="eastAsia" w:ascii="宋体" w:hAnsi="宋体" w:cs="宋体"/>
          <w:color w:val="FF0000"/>
          <w:kern w:val="0"/>
          <w:sz w:val="24"/>
          <w:lang w:val="en-US" w:eastAsia="zh-CN"/>
        </w:rPr>
        <w:t>15</w:t>
      </w:r>
      <w:bookmarkStart w:id="0" w:name="_GoBack"/>
      <w:bookmarkEnd w:id="0"/>
      <w:r>
        <w:rPr>
          <w:rFonts w:hint="eastAsia" w:ascii="宋体" w:hAnsi="宋体" w:cs="宋体"/>
          <w:color w:val="FF0000"/>
          <w:kern w:val="0"/>
          <w:sz w:val="24"/>
        </w:rPr>
        <w:t xml:space="preserve">  </w:t>
      </w:r>
    </w:p>
    <w:p>
      <w:pPr>
        <w:widowControl/>
        <w:spacing w:line="360" w:lineRule="auto"/>
        <w:jc w:val="left"/>
        <w:rPr>
          <w:rFonts w:ascii="宋体" w:hAnsi="宋体" w:cs="宋体"/>
          <w:b/>
          <w:kern w:val="0"/>
          <w:sz w:val="24"/>
        </w:rPr>
      </w:pPr>
      <w:r>
        <w:rPr>
          <w:rFonts w:hint="eastAsia" w:ascii="宋体" w:hAnsi="宋体" w:cs="宋体"/>
          <w:b/>
          <w:kern w:val="0"/>
          <w:sz w:val="24"/>
        </w:rPr>
        <w:t>3、</w:t>
      </w:r>
      <w:r>
        <w:rPr>
          <w:rFonts w:hint="eastAsia" w:ascii="宋体" w:hAnsi="宋体"/>
          <w:b/>
          <w:sz w:val="24"/>
        </w:rPr>
        <w:t>采购货物及相关要求</w:t>
      </w:r>
      <w:r>
        <w:rPr>
          <w:rFonts w:hint="eastAsia" w:ascii="宋体" w:hAnsi="宋体"/>
          <w:sz w:val="24"/>
        </w:rPr>
        <w:t>：</w:t>
      </w:r>
    </w:p>
    <w:tbl>
      <w:tblPr>
        <w:tblStyle w:val="22"/>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571"/>
        <w:gridCol w:w="1084"/>
        <w:gridCol w:w="232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949" w:type="dxa"/>
            <w:vAlign w:val="center"/>
          </w:tcPr>
          <w:p>
            <w:pPr>
              <w:spacing w:after="120" w:line="360" w:lineRule="auto"/>
              <w:jc w:val="center"/>
              <w:rPr>
                <w:rFonts w:ascii="宋体" w:hAnsi="宋体"/>
                <w:b/>
                <w:sz w:val="24"/>
              </w:rPr>
            </w:pPr>
            <w:r>
              <w:rPr>
                <w:rFonts w:hint="eastAsia" w:ascii="宋体" w:hAnsi="宋体"/>
                <w:b/>
                <w:sz w:val="24"/>
              </w:rPr>
              <w:t>序号</w:t>
            </w:r>
          </w:p>
        </w:tc>
        <w:tc>
          <w:tcPr>
            <w:tcW w:w="2571" w:type="dxa"/>
            <w:vAlign w:val="center"/>
          </w:tcPr>
          <w:p>
            <w:pPr>
              <w:spacing w:after="120" w:line="360" w:lineRule="auto"/>
              <w:jc w:val="center"/>
              <w:rPr>
                <w:rFonts w:ascii="宋体" w:hAnsi="宋体"/>
                <w:b/>
                <w:sz w:val="24"/>
              </w:rPr>
            </w:pPr>
            <w:r>
              <w:rPr>
                <w:rFonts w:hint="eastAsia" w:ascii="宋体" w:hAnsi="宋体"/>
                <w:b/>
                <w:sz w:val="24"/>
              </w:rPr>
              <w:t>采购货物要求</w:t>
            </w:r>
          </w:p>
        </w:tc>
        <w:tc>
          <w:tcPr>
            <w:tcW w:w="1084" w:type="dxa"/>
            <w:vAlign w:val="center"/>
          </w:tcPr>
          <w:p>
            <w:pPr>
              <w:spacing w:after="120" w:line="360" w:lineRule="auto"/>
              <w:jc w:val="center"/>
              <w:rPr>
                <w:rFonts w:ascii="宋体" w:hAnsi="宋体"/>
                <w:b/>
                <w:sz w:val="24"/>
              </w:rPr>
            </w:pPr>
            <w:r>
              <w:rPr>
                <w:rFonts w:hint="eastAsia" w:ascii="宋体" w:hAnsi="宋体"/>
                <w:b/>
                <w:sz w:val="24"/>
              </w:rPr>
              <w:t>数量</w:t>
            </w:r>
          </w:p>
        </w:tc>
        <w:tc>
          <w:tcPr>
            <w:tcW w:w="2328" w:type="dxa"/>
            <w:vAlign w:val="center"/>
          </w:tcPr>
          <w:p>
            <w:pPr>
              <w:spacing w:after="120" w:line="360" w:lineRule="auto"/>
              <w:jc w:val="center"/>
              <w:rPr>
                <w:rFonts w:ascii="宋体" w:hAnsi="宋体"/>
                <w:b/>
                <w:sz w:val="24"/>
              </w:rPr>
            </w:pPr>
            <w:r>
              <w:rPr>
                <w:rFonts w:hint="eastAsia" w:ascii="宋体" w:hAnsi="宋体"/>
                <w:b/>
                <w:sz w:val="24"/>
              </w:rPr>
              <w:t>交货期</w:t>
            </w:r>
          </w:p>
        </w:tc>
        <w:tc>
          <w:tcPr>
            <w:tcW w:w="1697" w:type="dxa"/>
            <w:vAlign w:val="center"/>
          </w:tcPr>
          <w:p>
            <w:pPr>
              <w:spacing w:after="120" w:line="360" w:lineRule="auto"/>
              <w:jc w:val="center"/>
              <w:rPr>
                <w:rFonts w:ascii="宋体" w:hAnsi="宋体"/>
                <w:b/>
                <w:sz w:val="24"/>
              </w:rPr>
            </w:pPr>
            <w:r>
              <w:rPr>
                <w:rFonts w:hint="eastAsia" w:ascii="宋体" w:hAnsi="宋体"/>
                <w:b/>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49" w:type="dxa"/>
            <w:vAlign w:val="center"/>
          </w:tcPr>
          <w:p>
            <w:pPr>
              <w:spacing w:after="120" w:line="360" w:lineRule="auto"/>
              <w:jc w:val="center"/>
              <w:rPr>
                <w:rFonts w:ascii="宋体" w:hAnsi="宋体" w:cs="宋体"/>
                <w:szCs w:val="21"/>
              </w:rPr>
            </w:pPr>
            <w:r>
              <w:rPr>
                <w:rFonts w:hint="eastAsia" w:ascii="宋体" w:hAnsi="宋体" w:cs="宋体"/>
                <w:kern w:val="0"/>
                <w:szCs w:val="21"/>
              </w:rPr>
              <w:t>1</w:t>
            </w:r>
          </w:p>
        </w:tc>
        <w:tc>
          <w:tcPr>
            <w:tcW w:w="3655" w:type="dxa"/>
            <w:gridSpan w:val="2"/>
            <w:shd w:val="clear" w:color="auto" w:fill="auto"/>
            <w:vAlign w:val="center"/>
          </w:tcPr>
          <w:p>
            <w:pPr>
              <w:spacing w:after="120" w:line="360" w:lineRule="auto"/>
              <w:jc w:val="center"/>
              <w:rPr>
                <w:rFonts w:hint="eastAsia" w:ascii="宋体" w:hAnsi="宋体" w:eastAsia="宋体"/>
                <w:szCs w:val="21"/>
                <w:lang w:eastAsia="zh-CN"/>
              </w:rPr>
            </w:pPr>
            <w:r>
              <w:rPr>
                <w:rFonts w:hint="eastAsia" w:ascii="宋体" w:hAnsi="宋体"/>
                <w:color w:val="FF0000"/>
                <w:szCs w:val="21"/>
              </w:rPr>
              <w:t>详见报价单</w:t>
            </w:r>
          </w:p>
        </w:tc>
        <w:tc>
          <w:tcPr>
            <w:tcW w:w="2328" w:type="dxa"/>
            <w:shd w:val="clear" w:color="auto" w:fill="auto"/>
            <w:vAlign w:val="center"/>
          </w:tcPr>
          <w:p>
            <w:pPr>
              <w:spacing w:after="120" w:line="360" w:lineRule="auto"/>
              <w:jc w:val="center"/>
              <w:rPr>
                <w:rFonts w:ascii="宋体" w:hAnsi="宋体"/>
                <w:szCs w:val="21"/>
              </w:rPr>
            </w:pPr>
            <w:r>
              <w:rPr>
                <w:rFonts w:hint="eastAsia" w:ascii="宋体" w:hAnsi="宋体"/>
                <w:color w:val="FF0000"/>
                <w:szCs w:val="21"/>
              </w:rPr>
              <w:t>详见报价单</w:t>
            </w:r>
          </w:p>
        </w:tc>
        <w:tc>
          <w:tcPr>
            <w:tcW w:w="1697" w:type="dxa"/>
            <w:shd w:val="clear" w:color="auto" w:fill="auto"/>
            <w:vAlign w:val="center"/>
          </w:tcPr>
          <w:p>
            <w:pPr>
              <w:spacing w:after="120" w:line="360" w:lineRule="auto"/>
              <w:jc w:val="center"/>
              <w:rPr>
                <w:rFonts w:ascii="宋体" w:hAnsi="宋体"/>
                <w:szCs w:val="21"/>
              </w:rPr>
            </w:pPr>
            <w:r>
              <w:rPr>
                <w:rFonts w:hint="eastAsia" w:ascii="宋体" w:hAnsi="宋体"/>
                <w:szCs w:val="21"/>
              </w:rPr>
              <w:t>需方指定地点</w:t>
            </w:r>
          </w:p>
        </w:tc>
      </w:tr>
    </w:tbl>
    <w:p>
      <w:pPr>
        <w:widowControl/>
        <w:spacing w:line="360" w:lineRule="auto"/>
        <w:jc w:val="left"/>
        <w:rPr>
          <w:rFonts w:hint="eastAsia" w:ascii="宋体" w:hAnsi="宋体" w:cs="宋体"/>
          <w:b w:val="0"/>
          <w:bCs/>
          <w:kern w:val="0"/>
          <w:sz w:val="24"/>
          <w:lang w:val="en-US" w:eastAsia="zh-CN"/>
        </w:rPr>
      </w:pPr>
      <w:r>
        <w:rPr>
          <w:rFonts w:hint="eastAsia" w:ascii="宋体" w:hAnsi="宋体" w:cs="宋体"/>
          <w:b w:val="0"/>
          <w:bCs/>
          <w:kern w:val="0"/>
          <w:sz w:val="24"/>
          <w:lang w:val="en-US" w:eastAsia="zh-CN"/>
        </w:rPr>
        <w:t>（说明：《报价单》获取方式：电子邮件）</w:t>
      </w:r>
    </w:p>
    <w:p>
      <w:pPr>
        <w:widowControl/>
        <w:spacing w:line="360" w:lineRule="auto"/>
        <w:jc w:val="left"/>
        <w:rPr>
          <w:rFonts w:ascii="宋体" w:hAnsi="宋体" w:cs="宋体"/>
          <w:b/>
          <w:kern w:val="0"/>
          <w:sz w:val="24"/>
        </w:rPr>
      </w:pPr>
      <w:r>
        <w:rPr>
          <w:rFonts w:hint="eastAsia" w:ascii="宋体" w:hAnsi="宋体" w:cs="宋体"/>
          <w:b/>
          <w:kern w:val="0"/>
          <w:sz w:val="24"/>
        </w:rPr>
        <w:t>4、</w:t>
      </w:r>
      <w:r>
        <w:rPr>
          <w:rFonts w:hint="eastAsia" w:ascii="宋体" w:hAnsi="宋体"/>
          <w:b/>
          <w:sz w:val="24"/>
        </w:rPr>
        <w:t>报价方资格必须符合下列资格要求：</w:t>
      </w:r>
      <w:r>
        <w:rPr>
          <w:rFonts w:hint="eastAsia" w:ascii="宋体" w:hAnsi="宋体" w:cs="宋体"/>
          <w:b/>
          <w:kern w:val="0"/>
          <w:sz w:val="24"/>
        </w:rPr>
        <w:t xml:space="preserve"> </w:t>
      </w:r>
    </w:p>
    <w:p>
      <w:pPr>
        <w:spacing w:line="360" w:lineRule="auto"/>
        <w:ind w:firstLine="480" w:firstLineChars="200"/>
        <w:rPr>
          <w:rFonts w:ascii="Arial" w:hAnsi="Arial" w:cs="Arial"/>
          <w:kern w:val="0"/>
          <w:sz w:val="24"/>
          <w:highlight w:val="yellow"/>
        </w:rPr>
      </w:pPr>
      <w:r>
        <w:rPr>
          <w:rFonts w:hint="eastAsia" w:ascii="宋体" w:hAnsi="宋体" w:cs="宋体"/>
          <w:kern w:val="0"/>
          <w:sz w:val="24"/>
        </w:rPr>
        <w:t>4.1、具有独立订立合同权利和独立法人资格，</w:t>
      </w:r>
      <w:r>
        <w:rPr>
          <w:rFonts w:hint="eastAsia" w:ascii="宋体" w:hAnsi="宋体" w:cs="宋体"/>
          <w:b/>
          <w:bCs/>
          <w:kern w:val="0"/>
          <w:sz w:val="24"/>
        </w:rPr>
        <w:t>具备承担</w:t>
      </w:r>
      <w:r>
        <w:rPr>
          <w:rFonts w:hint="eastAsia" w:ascii="宋体" w:hAnsi="宋体" w:cs="宋体"/>
          <w:b/>
          <w:bCs/>
          <w:kern w:val="0"/>
          <w:sz w:val="24"/>
          <w:lang w:val="en-US" w:eastAsia="zh-CN"/>
        </w:rPr>
        <w:t>该</w:t>
      </w:r>
      <w:r>
        <w:rPr>
          <w:rFonts w:hint="eastAsia" w:ascii="宋体" w:hAnsi="宋体" w:cs="宋体"/>
          <w:b/>
          <w:bCs/>
          <w:kern w:val="0"/>
          <w:sz w:val="24"/>
        </w:rPr>
        <w:t>项目的能力</w:t>
      </w:r>
      <w:r>
        <w:rPr>
          <w:rFonts w:hint="eastAsia" w:ascii="宋体" w:hAnsi="宋体" w:cs="宋体"/>
          <w:kern w:val="0"/>
          <w:sz w:val="24"/>
        </w:rPr>
        <w:t>，</w:t>
      </w:r>
      <w:r>
        <w:rPr>
          <w:rFonts w:hint="eastAsia" w:ascii="宋体" w:hAnsi="宋体" w:cs="宋体"/>
          <w:b/>
          <w:bCs/>
          <w:kern w:val="0"/>
          <w:sz w:val="24"/>
        </w:rPr>
        <w:t>符合国家规定的资格条件</w:t>
      </w:r>
      <w:r>
        <w:rPr>
          <w:rFonts w:hint="eastAsia" w:ascii="宋体" w:hAnsi="宋体" w:cs="宋体"/>
          <w:kern w:val="0"/>
          <w:sz w:val="24"/>
        </w:rPr>
        <w:t>,</w:t>
      </w:r>
      <w:r>
        <w:rPr>
          <w:rFonts w:hint="eastAsia" w:ascii="Arial" w:hAnsi="Arial" w:cs="Arial"/>
          <w:color w:val="FF0000"/>
          <w:kern w:val="0"/>
          <w:sz w:val="24"/>
        </w:rPr>
        <w:t xml:space="preserve"> </w:t>
      </w:r>
      <w:r>
        <w:rPr>
          <w:rFonts w:hint="eastAsia" w:ascii="Arial" w:hAnsi="Arial" w:cs="Arial"/>
          <w:kern w:val="0"/>
          <w:sz w:val="24"/>
        </w:rPr>
        <w:t>原则上是</w:t>
      </w:r>
      <w:r>
        <w:rPr>
          <w:rFonts w:hint="eastAsia" w:ascii="Arial" w:hAnsi="Arial" w:cs="Arial"/>
          <w:color w:val="FF0000"/>
          <w:kern w:val="0"/>
          <w:sz w:val="24"/>
        </w:rPr>
        <w:t>中铝</w:t>
      </w:r>
      <w:r>
        <w:rPr>
          <w:rFonts w:hint="eastAsia" w:ascii="Arial" w:hAnsi="Arial" w:cs="Arial"/>
          <w:color w:val="FF0000"/>
          <w:kern w:val="0"/>
          <w:sz w:val="24"/>
          <w:lang w:val="en-US" w:eastAsia="zh-CN"/>
        </w:rPr>
        <w:t>ERP</w:t>
      </w:r>
      <w:r>
        <w:rPr>
          <w:rFonts w:hint="eastAsia" w:ascii="Arial" w:hAnsi="Arial" w:cs="Arial"/>
          <w:color w:val="FF0000"/>
          <w:kern w:val="0"/>
          <w:sz w:val="24"/>
        </w:rPr>
        <w:t>系统</w:t>
      </w:r>
      <w:r>
        <w:rPr>
          <w:rFonts w:hint="eastAsia" w:ascii="Arial" w:hAnsi="Arial" w:cs="Arial"/>
          <w:color w:val="FF0000"/>
          <w:kern w:val="0"/>
          <w:sz w:val="24"/>
          <w:lang w:val="en-US" w:eastAsia="zh-CN"/>
        </w:rPr>
        <w:t>内</w:t>
      </w:r>
      <w:r>
        <w:rPr>
          <w:rFonts w:hint="eastAsia" w:ascii="Arial" w:hAnsi="Arial" w:cs="Arial"/>
          <w:color w:val="FF0000"/>
          <w:kern w:val="0"/>
          <w:sz w:val="24"/>
        </w:rPr>
        <w:t>合格供应商。</w:t>
      </w:r>
      <w:r>
        <w:rPr>
          <w:rFonts w:hint="eastAsia" w:ascii="Arial" w:hAnsi="Arial" w:cs="Arial"/>
          <w:kern w:val="0"/>
          <w:sz w:val="24"/>
          <w:highlight w:val="yellow"/>
        </w:rPr>
        <w:t>如果是</w:t>
      </w:r>
      <w:r>
        <w:rPr>
          <w:rFonts w:hint="eastAsia" w:ascii="Arial" w:hAnsi="Arial" w:cs="Arial"/>
          <w:color w:val="FF0000"/>
          <w:kern w:val="0"/>
          <w:sz w:val="24"/>
          <w:highlight w:val="yellow"/>
        </w:rPr>
        <w:t>外部供应商，</w:t>
      </w:r>
      <w:r>
        <w:rPr>
          <w:rFonts w:hint="eastAsia" w:ascii="Arial" w:hAnsi="Arial" w:cs="Arial"/>
          <w:kern w:val="0"/>
          <w:sz w:val="24"/>
          <w:highlight w:val="yellow"/>
        </w:rPr>
        <w:t>须与</w:t>
      </w:r>
      <w:r>
        <w:rPr>
          <w:rFonts w:hint="eastAsia" w:ascii="Arial" w:hAnsi="Arial" w:cs="Arial"/>
          <w:kern w:val="0"/>
          <w:sz w:val="24"/>
          <w:highlight w:val="yellow"/>
          <w:lang w:val="en-US" w:eastAsia="zh-CN"/>
        </w:rPr>
        <w:t>设备辅材采购部</w:t>
      </w:r>
      <w:r>
        <w:rPr>
          <w:rFonts w:hint="eastAsia" w:ascii="Arial" w:hAnsi="Arial" w:cs="Arial"/>
          <w:kern w:val="0"/>
          <w:sz w:val="24"/>
          <w:highlight w:val="yellow"/>
        </w:rPr>
        <w:t>联系（电话：0391-350</w:t>
      </w:r>
      <w:r>
        <w:rPr>
          <w:rFonts w:hint="eastAsia" w:ascii="Arial" w:hAnsi="Arial" w:cs="Arial"/>
          <w:kern w:val="0"/>
          <w:sz w:val="24"/>
          <w:highlight w:val="yellow"/>
          <w:lang w:val="en-US" w:eastAsia="zh-CN"/>
        </w:rPr>
        <w:t>2039</w:t>
      </w:r>
      <w:r>
        <w:rPr>
          <w:rFonts w:hint="eastAsia" w:ascii="Arial" w:hAnsi="Arial" w:cs="Arial"/>
          <w:kern w:val="0"/>
          <w:sz w:val="24"/>
          <w:highlight w:val="yellow"/>
        </w:rPr>
        <w:t>），填写</w:t>
      </w:r>
      <w:r>
        <w:rPr>
          <w:highlight w:val="yellow"/>
        </w:rPr>
        <w:fldChar w:fldCharType="begin"/>
      </w:r>
      <w:r>
        <w:rPr>
          <w:highlight w:val="yellow"/>
        </w:rPr>
        <w:instrText xml:space="preserve"> HYPERLINK "file:///D:\\FangCloudV2\\personal_space\\工作目录\\文件制度\\营销部文件\\2018.11.2\\供应商管理\\2019年新增供应商\\新增供方审批表.docx" </w:instrText>
      </w:r>
      <w:r>
        <w:rPr>
          <w:highlight w:val="yellow"/>
        </w:rPr>
        <w:fldChar w:fldCharType="separate"/>
      </w:r>
      <w:r>
        <w:rPr>
          <w:rFonts w:hint="eastAsia" w:ascii="Arial" w:hAnsi="Arial" w:cs="Arial"/>
          <w:kern w:val="0"/>
          <w:sz w:val="24"/>
          <w:highlight w:val="yellow"/>
        </w:rPr>
        <w:t>《新增供方审批表》</w:t>
      </w:r>
      <w:r>
        <w:rPr>
          <w:rFonts w:hint="eastAsia" w:ascii="Arial" w:hAnsi="Arial" w:cs="Arial"/>
          <w:kern w:val="0"/>
          <w:sz w:val="24"/>
          <w:highlight w:val="yellow"/>
        </w:rPr>
        <w:fldChar w:fldCharType="end"/>
      </w:r>
      <w:r>
        <w:rPr>
          <w:rFonts w:ascii="Arial" w:hAnsi="Arial" w:cs="Arial"/>
          <w:kern w:val="0"/>
          <w:sz w:val="24"/>
          <w:highlight w:val="yellow"/>
        </w:rPr>
        <w:t>，</w:t>
      </w:r>
      <w:r>
        <w:rPr>
          <w:rFonts w:hint="eastAsia" w:ascii="Arial" w:hAnsi="Arial" w:cs="Arial"/>
          <w:kern w:val="0"/>
          <w:sz w:val="24"/>
          <w:highlight w:val="yellow"/>
        </w:rPr>
        <w:t>审批后方可参与我公司相关业务。</w:t>
      </w:r>
    </w:p>
    <w:p>
      <w:pPr>
        <w:widowControl/>
        <w:spacing w:line="360" w:lineRule="auto"/>
        <w:jc w:val="left"/>
        <w:rPr>
          <w:rFonts w:ascii="宋体" w:hAnsi="宋体" w:cs="宋体"/>
          <w:kern w:val="0"/>
          <w:sz w:val="24"/>
        </w:rPr>
      </w:pPr>
      <w:r>
        <w:rPr>
          <w:rFonts w:hint="eastAsia" w:ascii="宋体" w:hAnsi="宋体" w:cs="宋体"/>
          <w:kern w:val="0"/>
          <w:sz w:val="24"/>
        </w:rPr>
        <w:t>4.2、本次采购不接受联合体参与报价。法定代表人为同一人的两个（及以上）的报价方不得同时报价；母公司、全资子公司及其控股公司不得同时报价。上述情况下，按无效报价处理。</w:t>
      </w:r>
    </w:p>
    <w:p>
      <w:pPr>
        <w:widowControl/>
        <w:spacing w:line="360" w:lineRule="auto"/>
        <w:jc w:val="left"/>
        <w:rPr>
          <w:rFonts w:ascii="宋体" w:hAnsi="宋体" w:cs="宋体"/>
          <w:b/>
          <w:kern w:val="0"/>
          <w:sz w:val="24"/>
        </w:rPr>
      </w:pPr>
      <w:r>
        <w:rPr>
          <w:rFonts w:hint="eastAsia" w:ascii="宋体" w:hAnsi="宋体" w:cs="宋体"/>
          <w:b/>
          <w:kern w:val="0"/>
          <w:sz w:val="24"/>
        </w:rPr>
        <w:t>4</w:t>
      </w:r>
      <w:r>
        <w:rPr>
          <w:rFonts w:ascii="宋体" w:hAnsi="宋体" w:cs="宋体"/>
          <w:b/>
          <w:kern w:val="0"/>
          <w:sz w:val="24"/>
        </w:rPr>
        <w:t>.3、</w:t>
      </w:r>
      <w:r>
        <w:rPr>
          <w:rFonts w:hint="eastAsia" w:ascii="宋体" w:hAnsi="宋体" w:cs="宋体"/>
          <w:b/>
          <w:kern w:val="0"/>
          <w:sz w:val="24"/>
        </w:rPr>
        <w:t>根据中铝集团、中铝股份要求，禁止被列入国家失信被执行人名单或中铝集团禁入名单的供应商参与</w:t>
      </w:r>
      <w:r>
        <w:rPr>
          <w:rFonts w:hint="eastAsia" w:ascii="宋体" w:hAnsi="宋体" w:cs="宋体"/>
          <w:b/>
          <w:kern w:val="0"/>
          <w:sz w:val="24"/>
          <w:lang w:val="en-US" w:eastAsia="zh-CN"/>
        </w:rPr>
        <w:t>公开询比</w:t>
      </w:r>
      <w:r>
        <w:rPr>
          <w:rFonts w:hint="eastAsia" w:ascii="宋体" w:hAnsi="宋体" w:cs="宋体"/>
          <w:b/>
          <w:kern w:val="0"/>
          <w:sz w:val="24"/>
        </w:rPr>
        <w:t>采购活动。</w:t>
      </w:r>
    </w:p>
    <w:p>
      <w:pPr>
        <w:widowControl/>
        <w:spacing w:line="360" w:lineRule="auto"/>
        <w:ind w:firstLine="495"/>
        <w:jc w:val="left"/>
        <w:rPr>
          <w:rFonts w:ascii="宋体" w:hAnsi="宋体" w:cs="宋体"/>
          <w:b/>
          <w:kern w:val="0"/>
          <w:sz w:val="24"/>
        </w:rPr>
      </w:pPr>
      <w:r>
        <w:rPr>
          <w:rFonts w:hint="eastAsia" w:ascii="宋体" w:hAnsi="宋体" w:cs="宋体"/>
          <w:b/>
          <w:kern w:val="0"/>
          <w:sz w:val="24"/>
        </w:rPr>
        <w:t>禁止中铝中州铝业有限公司在岗员工及其亲属或特定关系人参与报价。</w:t>
      </w:r>
    </w:p>
    <w:p>
      <w:pPr>
        <w:widowControl/>
        <w:spacing w:line="360" w:lineRule="auto"/>
        <w:jc w:val="left"/>
        <w:rPr>
          <w:rFonts w:ascii="宋体" w:hAnsi="宋体" w:cs="宋体"/>
          <w:b/>
          <w:kern w:val="0"/>
          <w:sz w:val="24"/>
        </w:rPr>
      </w:pPr>
      <w:r>
        <w:rPr>
          <w:rFonts w:ascii="宋体" w:hAnsi="宋体" w:cs="宋体"/>
          <w:b/>
          <w:kern w:val="0"/>
          <w:sz w:val="24"/>
        </w:rPr>
        <w:t>4.4、</w:t>
      </w:r>
      <w:r>
        <w:rPr>
          <w:rFonts w:hint="eastAsia" w:ascii="宋体" w:hAnsi="宋体" w:cs="宋体"/>
          <w:b/>
          <w:kern w:val="0"/>
          <w:sz w:val="24"/>
        </w:rPr>
        <w:t>您报价的前提是理解并同意：</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①您已经了解物料在采购方的具体用途和使用环境。对有疑问的物料，请联系</w:t>
      </w:r>
      <w:r>
        <w:rPr>
          <w:rFonts w:hint="eastAsia" w:ascii="宋体" w:hAnsi="宋体" w:cs="宋体"/>
          <w:b/>
          <w:kern w:val="0"/>
          <w:sz w:val="24"/>
          <w:lang w:val="en-US" w:eastAsia="zh-CN"/>
        </w:rPr>
        <w:t>设备辅材采购部</w:t>
      </w:r>
      <w:r>
        <w:rPr>
          <w:rFonts w:hint="eastAsia" w:ascii="宋体" w:hAnsi="宋体" w:cs="宋体"/>
          <w:b/>
          <w:kern w:val="0"/>
          <w:sz w:val="24"/>
        </w:rPr>
        <w:t>，电话0391-3502</w:t>
      </w:r>
      <w:r>
        <w:rPr>
          <w:rFonts w:hint="eastAsia" w:ascii="宋体" w:hAnsi="宋体" w:cs="宋体"/>
          <w:b/>
          <w:kern w:val="0"/>
          <w:sz w:val="24"/>
          <w:lang w:val="en-US" w:eastAsia="zh-CN"/>
        </w:rPr>
        <w:t>039</w:t>
      </w:r>
      <w:r>
        <w:rPr>
          <w:rFonts w:hint="eastAsia" w:ascii="宋体" w:hAnsi="宋体" w:cs="宋体"/>
          <w:b/>
          <w:kern w:val="0"/>
          <w:sz w:val="24"/>
        </w:rPr>
        <w:t>，一定要了解清楚相关材质、参数，然后再报价。我们购买产品是为了满足生产要求，所以，不认可您报价时擅自添加的、与具体用途和使用环境相违背的任何参数或标注。</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②国家有强制性要求的产品，涉及安全、环保、健康的产品，交货时，应主动提供完整、有效的证明。</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③双方理解不一致时，以采购方理解为准；相信采购方公平、公正、合法，无论是否中选，将毫无异议地接受。</w:t>
      </w:r>
    </w:p>
    <w:p>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如您不理解或不同意，请不要报价。中选后，无论您以任何形式、任何理由不供货，将不被接受。</w:t>
      </w:r>
    </w:p>
    <w:p>
      <w:pPr>
        <w:widowControl/>
        <w:spacing w:line="360" w:lineRule="auto"/>
        <w:jc w:val="left"/>
        <w:rPr>
          <w:rFonts w:ascii="宋体" w:hAnsi="宋体" w:cs="宋体"/>
          <w:kern w:val="0"/>
          <w:sz w:val="24"/>
        </w:rPr>
      </w:pPr>
      <w:r>
        <w:rPr>
          <w:rFonts w:hint="eastAsia" w:ascii="宋体" w:hAnsi="宋体" w:cs="宋体"/>
          <w:b/>
          <w:kern w:val="0"/>
          <w:sz w:val="24"/>
        </w:rPr>
        <w:t>5、采购方式</w:t>
      </w:r>
      <w:r>
        <w:rPr>
          <w:rFonts w:hint="eastAsia" w:ascii="宋体" w:hAnsi="宋体" w:cs="宋体"/>
          <w:kern w:val="0"/>
          <w:sz w:val="24"/>
        </w:rPr>
        <w:t>：公开询比采购（</w:t>
      </w:r>
      <w:r>
        <w:rPr>
          <w:rFonts w:hint="eastAsia" w:ascii="宋体" w:hAnsi="宋体" w:cs="宋体"/>
          <w:color w:val="FF0000"/>
          <w:kern w:val="0"/>
          <w:sz w:val="24"/>
        </w:rPr>
        <w:t>经评审的最低</w:t>
      </w:r>
      <w:r>
        <w:rPr>
          <w:rFonts w:hint="eastAsia" w:ascii="宋体" w:hAnsi="宋体" w:cs="宋体"/>
          <w:color w:val="FF0000"/>
          <w:kern w:val="0"/>
          <w:sz w:val="24"/>
          <w:lang w:val="en-US" w:eastAsia="zh-CN"/>
        </w:rPr>
        <w:t>报价法</w:t>
      </w:r>
      <w:r>
        <w:rPr>
          <w:rFonts w:hint="eastAsia" w:ascii="宋体" w:hAnsi="宋体" w:cs="宋体"/>
          <w:color w:val="FF0000"/>
          <w:kern w:val="0"/>
          <w:sz w:val="24"/>
        </w:rPr>
        <w:t>。如果最低价高于预期，有可能流选。）</w:t>
      </w:r>
    </w:p>
    <w:p>
      <w:pPr>
        <w:widowControl/>
        <w:spacing w:line="360" w:lineRule="auto"/>
        <w:jc w:val="left"/>
        <w:rPr>
          <w:rFonts w:ascii="宋体" w:hAnsi="宋体" w:cs="宋体"/>
          <w:b/>
          <w:kern w:val="0"/>
          <w:sz w:val="24"/>
        </w:rPr>
      </w:pPr>
      <w:r>
        <w:rPr>
          <w:rFonts w:hint="eastAsia" w:ascii="宋体" w:hAnsi="宋体" w:cs="宋体"/>
          <w:b/>
          <w:color w:val="000000"/>
          <w:kern w:val="0"/>
          <w:sz w:val="24"/>
        </w:rPr>
        <w:t>6、</w:t>
      </w:r>
      <w:r>
        <w:rPr>
          <w:rFonts w:hint="eastAsia" w:ascii="宋体" w:hAnsi="宋体" w:cs="宋体"/>
          <w:b/>
          <w:kern w:val="0"/>
          <w:sz w:val="24"/>
        </w:rPr>
        <w:t>联系方式：</w:t>
      </w:r>
    </w:p>
    <w:p>
      <w:pPr>
        <w:widowControl/>
        <w:spacing w:line="360" w:lineRule="auto"/>
        <w:jc w:val="left"/>
        <w:rPr>
          <w:rFonts w:ascii="宋体" w:hAnsi="宋体" w:cs="宋体"/>
          <w:kern w:val="0"/>
          <w:sz w:val="24"/>
        </w:rPr>
      </w:pPr>
      <w:r>
        <w:rPr>
          <w:rFonts w:hint="eastAsia" w:ascii="宋体" w:hAnsi="宋体" w:cs="宋体"/>
          <w:kern w:val="0"/>
          <w:sz w:val="24"/>
        </w:rPr>
        <w:t>联系部门：中铝中州铝业</w:t>
      </w:r>
      <w:r>
        <w:rPr>
          <w:rFonts w:hint="eastAsia" w:ascii="宋体" w:hAnsi="宋体" w:cs="宋体"/>
          <w:kern w:val="0"/>
          <w:sz w:val="24"/>
          <w:lang w:val="en-US" w:eastAsia="zh-CN"/>
        </w:rPr>
        <w:t>有限公司</w:t>
      </w:r>
      <w:r>
        <w:rPr>
          <w:rFonts w:hint="eastAsia" w:ascii="宋体" w:hAnsi="宋体" w:cs="宋体"/>
          <w:kern w:val="0"/>
          <w:sz w:val="24"/>
        </w:rPr>
        <w:t>营销采购中心</w:t>
      </w:r>
    </w:p>
    <w:p>
      <w:pPr>
        <w:widowControl/>
        <w:spacing w:line="360" w:lineRule="auto"/>
        <w:jc w:val="left"/>
        <w:rPr>
          <w:rFonts w:ascii="宋体" w:hAnsi="宋体" w:cs="宋体"/>
          <w:color w:val="FF0000"/>
          <w:kern w:val="0"/>
          <w:sz w:val="24"/>
        </w:rPr>
      </w:pPr>
      <w:r>
        <w:rPr>
          <w:rFonts w:hint="eastAsia" w:ascii="宋体" w:hAnsi="宋体" w:cs="宋体"/>
          <w:color w:val="FF0000"/>
          <w:kern w:val="0"/>
          <w:sz w:val="24"/>
        </w:rPr>
        <w:t>联系人：葛继臣</w:t>
      </w:r>
    </w:p>
    <w:p>
      <w:pPr>
        <w:widowControl/>
        <w:spacing w:line="360" w:lineRule="auto"/>
        <w:ind w:left="353" w:hanging="352" w:hangingChars="147"/>
        <w:jc w:val="left"/>
        <w:rPr>
          <w:rFonts w:ascii="宋体" w:hAnsi="宋体" w:cs="宋体"/>
          <w:color w:val="FF0000"/>
          <w:kern w:val="0"/>
          <w:sz w:val="24"/>
        </w:rPr>
      </w:pPr>
      <w:r>
        <w:rPr>
          <w:rFonts w:hint="eastAsia" w:ascii="宋体" w:hAnsi="宋体" w:cs="宋体"/>
          <w:color w:val="FF0000"/>
          <w:kern w:val="0"/>
          <w:sz w:val="24"/>
        </w:rPr>
        <w:t>联系电话：0391-350</w:t>
      </w:r>
      <w:r>
        <w:rPr>
          <w:rFonts w:hint="eastAsia" w:ascii="宋体" w:hAnsi="宋体" w:cs="宋体"/>
          <w:color w:val="FF0000"/>
          <w:kern w:val="0"/>
          <w:sz w:val="24"/>
          <w:lang w:val="en-US" w:eastAsia="zh-CN"/>
        </w:rPr>
        <w:t>1719</w:t>
      </w:r>
      <w:r>
        <w:rPr>
          <w:rFonts w:hint="eastAsia" w:ascii="宋体" w:hAnsi="宋体" w:cs="宋体"/>
          <w:color w:val="FF0000"/>
          <w:kern w:val="0"/>
          <w:sz w:val="24"/>
        </w:rPr>
        <w:t xml:space="preserve"> </w:t>
      </w:r>
    </w:p>
    <w:p>
      <w:pPr>
        <w:spacing w:line="360" w:lineRule="auto"/>
        <w:rPr>
          <w:rFonts w:ascii="宋体" w:hAnsi="宋体"/>
          <w:sz w:val="24"/>
        </w:rPr>
      </w:pPr>
      <w:r>
        <w:rPr>
          <w:rFonts w:hint="eastAsia" w:ascii="宋体" w:hAnsi="宋体" w:cs="宋体"/>
          <w:b/>
          <w:kern w:val="0"/>
          <w:sz w:val="24"/>
        </w:rPr>
        <w:t>7、</w:t>
      </w:r>
      <w:r>
        <w:rPr>
          <w:rFonts w:hint="eastAsia" w:ascii="宋体" w:hAnsi="宋体"/>
          <w:b/>
          <w:sz w:val="24"/>
        </w:rPr>
        <w:t>报价截止（唱价）时间：</w:t>
      </w:r>
      <w:r>
        <w:rPr>
          <w:rFonts w:hint="eastAsia" w:ascii="宋体" w:hAnsi="宋体"/>
          <w:color w:val="FF0000"/>
          <w:sz w:val="24"/>
        </w:rPr>
        <w:t>详见报价单</w:t>
      </w:r>
    </w:p>
    <w:p>
      <w:pPr>
        <w:spacing w:line="360" w:lineRule="auto"/>
        <w:rPr>
          <w:rFonts w:ascii="宋体" w:hAnsi="宋体"/>
          <w:b/>
          <w:sz w:val="24"/>
        </w:rPr>
      </w:pPr>
      <w:r>
        <w:rPr>
          <w:rFonts w:hint="eastAsia" w:ascii="宋体" w:hAnsi="宋体"/>
          <w:b/>
          <w:sz w:val="24"/>
        </w:rPr>
        <w:t>8、报价方式：</w:t>
      </w:r>
      <w:r>
        <w:rPr>
          <w:rFonts w:hint="eastAsia" w:ascii="宋体" w:hAnsi="宋体"/>
          <w:color w:val="FF0000"/>
          <w:sz w:val="24"/>
        </w:rPr>
        <w:t>详见报价单</w:t>
      </w:r>
    </w:p>
    <w:p>
      <w:pPr>
        <w:spacing w:line="360" w:lineRule="auto"/>
        <w:rPr>
          <w:rFonts w:ascii="宋体" w:hAnsi="宋体" w:cs="宋体"/>
          <w:kern w:val="0"/>
          <w:sz w:val="24"/>
        </w:rPr>
      </w:pPr>
      <w:r>
        <w:rPr>
          <w:rFonts w:hint="eastAsia" w:ascii="宋体" w:hAnsi="宋体"/>
          <w:b/>
          <w:sz w:val="24"/>
        </w:rPr>
        <w:t>9、评审</w:t>
      </w:r>
      <w:r>
        <w:rPr>
          <w:rFonts w:hint="eastAsia" w:ascii="宋体" w:hAnsi="宋体" w:cs="宋体"/>
          <w:b/>
          <w:kern w:val="0"/>
          <w:sz w:val="24"/>
        </w:rPr>
        <w:t>地点：</w:t>
      </w:r>
      <w:r>
        <w:rPr>
          <w:rFonts w:hint="eastAsia" w:ascii="宋体" w:hAnsi="宋体" w:cs="宋体"/>
          <w:kern w:val="0"/>
          <w:sz w:val="24"/>
        </w:rPr>
        <w:t>中铝中州铝业有限公司营销采购中心</w:t>
      </w: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b/>
          <w:kern w:val="0"/>
          <w:sz w:val="24"/>
        </w:rPr>
        <w:t>10、合同主要条款</w:t>
      </w:r>
      <w:r>
        <w:rPr>
          <w:rFonts w:hint="eastAsia" w:ascii="宋体" w:hAnsi="宋体" w:cs="宋体"/>
          <w:kern w:val="0"/>
          <w:sz w:val="24"/>
        </w:rPr>
        <w:t>：</w:t>
      </w:r>
    </w:p>
    <w:tbl>
      <w:tblPr>
        <w:tblStyle w:val="22"/>
        <w:tblW w:w="11360" w:type="dxa"/>
        <w:tblInd w:w="-967" w:type="dxa"/>
        <w:tblLayout w:type="fixed"/>
        <w:tblCellMar>
          <w:top w:w="0" w:type="dxa"/>
          <w:left w:w="108" w:type="dxa"/>
          <w:bottom w:w="0" w:type="dxa"/>
          <w:right w:w="108" w:type="dxa"/>
        </w:tblCellMar>
      </w:tblPr>
      <w:tblGrid>
        <w:gridCol w:w="11360"/>
      </w:tblGrid>
      <w:tr>
        <w:tblPrEx>
          <w:tblLayout w:type="fixed"/>
          <w:tblCellMar>
            <w:top w:w="0" w:type="dxa"/>
            <w:left w:w="108" w:type="dxa"/>
            <w:bottom w:w="0" w:type="dxa"/>
            <w:right w:w="108" w:type="dxa"/>
          </w:tblCellMar>
        </w:tblPrEx>
        <w:trPr>
          <w:trHeight w:val="285" w:hRule="atLeast"/>
        </w:trPr>
        <w:tc>
          <w:tcPr>
            <w:tcW w:w="11360" w:type="dxa"/>
            <w:tcBorders>
              <w:top w:val="nil"/>
              <w:left w:val="nil"/>
              <w:bottom w:val="nil"/>
              <w:right w:val="nil"/>
            </w:tcBorders>
            <w:shd w:val="clear" w:color="auto" w:fill="auto"/>
            <w:vAlign w:val="center"/>
          </w:tcPr>
          <w:p>
            <w:pPr>
              <w:adjustRightInd w:val="0"/>
              <w:snapToGrid w:val="0"/>
              <w:ind w:firstLine="422" w:firstLineChars="200"/>
              <w:jc w:val="left"/>
              <w:rPr>
                <w:rFonts w:ascii="宋体" w:hAnsi="宋体" w:cs="宋体"/>
                <w:b/>
                <w:szCs w:val="21"/>
              </w:rPr>
            </w:pPr>
            <w:r>
              <w:rPr>
                <w:rFonts w:hint="eastAsia" w:ascii="宋体" w:hAnsi="宋体" w:cs="宋体"/>
                <w:b/>
                <w:szCs w:val="21"/>
              </w:rPr>
              <w:t>第一条 货物名称、规格、单位、数量、价格</w:t>
            </w:r>
          </w:p>
          <w:p>
            <w:pPr>
              <w:adjustRightInd w:val="0"/>
              <w:snapToGrid w:val="0"/>
              <w:ind w:firstLine="422" w:firstLineChars="200"/>
              <w:jc w:val="left"/>
              <w:rPr>
                <w:rFonts w:ascii="宋体" w:hAnsi="宋体" w:cs="宋体"/>
                <w:b/>
                <w:szCs w:val="21"/>
              </w:rPr>
            </w:pPr>
            <w:r>
              <w:rPr>
                <w:rFonts w:hint="eastAsia" w:ascii="宋体" w:hAnsi="宋体" w:cs="宋体"/>
                <w:b/>
                <w:szCs w:val="21"/>
              </w:rPr>
              <w:t>详见附表：《供货清单》</w:t>
            </w:r>
          </w:p>
          <w:p>
            <w:pPr>
              <w:adjustRightInd w:val="0"/>
              <w:snapToGrid w:val="0"/>
              <w:ind w:firstLine="422" w:firstLineChars="200"/>
              <w:jc w:val="left"/>
              <w:rPr>
                <w:rFonts w:ascii="宋体" w:hAnsi="宋体" w:cs="宋体"/>
                <w:b/>
                <w:szCs w:val="21"/>
              </w:rPr>
            </w:pPr>
            <w:r>
              <w:rPr>
                <w:rFonts w:hint="eastAsia" w:ascii="宋体" w:hAnsi="宋体" w:cs="宋体"/>
                <w:b/>
                <w:szCs w:val="21"/>
              </w:rPr>
              <w:t>合同总价（无税）：******元</w:t>
            </w:r>
          </w:p>
          <w:p>
            <w:pPr>
              <w:adjustRightInd w:val="0"/>
              <w:snapToGrid w:val="0"/>
              <w:ind w:firstLine="422" w:firstLineChars="200"/>
              <w:jc w:val="left"/>
              <w:rPr>
                <w:rFonts w:ascii="宋体" w:hAnsi="宋体" w:cs="宋体"/>
                <w:b/>
                <w:szCs w:val="21"/>
              </w:rPr>
            </w:pPr>
            <w:r>
              <w:rPr>
                <w:rFonts w:hint="eastAsia" w:ascii="宋体" w:hAnsi="宋体" w:cs="宋体"/>
                <w:b/>
                <w:szCs w:val="21"/>
              </w:rPr>
              <w:t>大写（无税人民币）：********元</w:t>
            </w:r>
          </w:p>
          <w:p>
            <w:pPr>
              <w:adjustRightInd w:val="0"/>
              <w:snapToGrid w:val="0"/>
              <w:ind w:firstLine="422" w:firstLineChars="200"/>
              <w:jc w:val="left"/>
              <w:rPr>
                <w:rFonts w:ascii="宋体" w:hAnsi="宋体" w:cs="宋体"/>
                <w:b/>
                <w:szCs w:val="21"/>
              </w:rPr>
            </w:pPr>
            <w:r>
              <w:rPr>
                <w:rFonts w:hint="eastAsia" w:ascii="宋体" w:hAnsi="宋体" w:cs="宋体"/>
                <w:b/>
                <w:szCs w:val="21"/>
              </w:rPr>
              <w:t>第二条 交货方式</w:t>
            </w:r>
          </w:p>
          <w:p>
            <w:pPr>
              <w:adjustRightInd w:val="0"/>
              <w:snapToGrid w:val="0"/>
              <w:ind w:firstLine="420" w:firstLineChars="200"/>
              <w:jc w:val="left"/>
              <w:rPr>
                <w:rFonts w:ascii="宋体" w:hAnsi="宋体" w:cs="宋体"/>
                <w:szCs w:val="21"/>
              </w:rPr>
            </w:pPr>
            <w:r>
              <w:rPr>
                <w:rFonts w:hint="eastAsia" w:ascii="宋体" w:hAnsi="宋体" w:cs="宋体"/>
                <w:szCs w:val="21"/>
              </w:rPr>
              <w:t>2.1 交货时间：*********。</w:t>
            </w:r>
          </w:p>
          <w:p>
            <w:pPr>
              <w:adjustRightInd w:val="0"/>
              <w:snapToGrid w:val="0"/>
              <w:ind w:firstLine="420" w:firstLineChars="200"/>
              <w:jc w:val="left"/>
              <w:rPr>
                <w:rFonts w:ascii="宋体" w:hAnsi="宋体" w:cs="宋体"/>
                <w:szCs w:val="21"/>
              </w:rPr>
            </w:pPr>
            <w:r>
              <w:rPr>
                <w:rFonts w:hint="eastAsia" w:ascii="宋体" w:hAnsi="宋体" w:cs="宋体"/>
                <w:szCs w:val="21"/>
              </w:rPr>
              <w:t>2.2 交货地点：甲方仓库或指定地点。</w:t>
            </w:r>
          </w:p>
          <w:p>
            <w:pPr>
              <w:adjustRightInd w:val="0"/>
              <w:snapToGrid w:val="0"/>
              <w:ind w:firstLine="420" w:firstLineChars="200"/>
              <w:jc w:val="left"/>
              <w:rPr>
                <w:rFonts w:ascii="宋体" w:hAnsi="宋体" w:cs="宋体"/>
                <w:szCs w:val="21"/>
              </w:rPr>
            </w:pPr>
            <w:r>
              <w:rPr>
                <w:rFonts w:hint="eastAsia" w:ascii="宋体" w:hAnsi="宋体" w:cs="宋体"/>
                <w:szCs w:val="21"/>
              </w:rPr>
              <w:t>2.3 交货方式：</w:t>
            </w:r>
            <w:r>
              <w:rPr>
                <w:rFonts w:hint="eastAsia" w:ascii="宋体" w:hAnsi="宋体" w:cs="宋体"/>
                <w:szCs w:val="21"/>
                <w:u w:val="single"/>
              </w:rPr>
              <w:t>一次性交付或分批交付</w:t>
            </w:r>
            <w:r>
              <w:rPr>
                <w:rFonts w:hint="eastAsia" w:ascii="宋体" w:hAnsi="宋体" w:cs="宋体"/>
                <w:szCs w:val="21"/>
              </w:rPr>
              <w:t>。</w:t>
            </w:r>
          </w:p>
          <w:p>
            <w:pPr>
              <w:adjustRightInd w:val="0"/>
              <w:snapToGrid w:val="0"/>
              <w:ind w:firstLine="420" w:firstLineChars="200"/>
              <w:jc w:val="left"/>
              <w:rPr>
                <w:rFonts w:ascii="宋体" w:hAnsi="宋体" w:cs="宋体"/>
                <w:szCs w:val="21"/>
              </w:rPr>
            </w:pPr>
            <w:r>
              <w:rPr>
                <w:rFonts w:hint="eastAsia" w:ascii="宋体" w:hAnsi="宋体" w:cs="宋体"/>
                <w:szCs w:val="21"/>
              </w:rPr>
              <w:t>2.4 运输方式：汽车运输、费用由乙方承担。运输车辆必须达到国四、国五标准。车辆外观必须做到整齐、干净。进入厂区送货按规定路线行驶，限速在30公里/小时以下，不得有抛撒现象。由于乙方原因造成甲方直接或间接损失的，应承担相关责任，甲方有权进行追偿。</w:t>
            </w:r>
          </w:p>
          <w:p>
            <w:pPr>
              <w:adjustRightInd w:val="0"/>
              <w:snapToGrid w:val="0"/>
              <w:ind w:firstLine="420" w:firstLineChars="200"/>
              <w:jc w:val="left"/>
              <w:rPr>
                <w:rFonts w:ascii="宋体" w:hAnsi="宋体" w:cs="宋体"/>
                <w:szCs w:val="21"/>
              </w:rPr>
            </w:pPr>
            <w:r>
              <w:rPr>
                <w:rFonts w:hint="eastAsia" w:ascii="宋体" w:hAnsi="宋体" w:cs="宋体"/>
                <w:szCs w:val="21"/>
              </w:rPr>
              <w:t>2.5 包装标准:裸装或纸（木）箱包装，包装物不计价，包装物不回收。</w:t>
            </w:r>
          </w:p>
          <w:p>
            <w:pPr>
              <w:adjustRightInd w:val="0"/>
              <w:snapToGrid w:val="0"/>
              <w:ind w:firstLine="422" w:firstLineChars="200"/>
              <w:jc w:val="left"/>
              <w:rPr>
                <w:rFonts w:ascii="宋体" w:hAnsi="宋体" w:cs="宋体"/>
                <w:b/>
                <w:szCs w:val="21"/>
              </w:rPr>
            </w:pPr>
            <w:r>
              <w:rPr>
                <w:rFonts w:hint="eastAsia" w:ascii="宋体" w:hAnsi="宋体" w:cs="宋体"/>
                <w:b/>
                <w:szCs w:val="21"/>
              </w:rPr>
              <w:t>第三条 质量标准</w:t>
            </w:r>
          </w:p>
          <w:p>
            <w:pPr>
              <w:adjustRightInd w:val="0"/>
              <w:snapToGrid w:val="0"/>
              <w:ind w:firstLine="420" w:firstLineChars="200"/>
              <w:jc w:val="left"/>
              <w:rPr>
                <w:rFonts w:ascii="宋体" w:hAnsi="宋体" w:cs="宋体"/>
                <w:szCs w:val="21"/>
              </w:rPr>
            </w:pPr>
            <w:r>
              <w:rPr>
                <w:rFonts w:hint="eastAsia" w:ascii="宋体" w:hAnsi="宋体" w:cs="宋体"/>
                <w:szCs w:val="21"/>
              </w:rPr>
              <w:t>3.1 货物执行以下质量标准：国家标准及图纸技术标准执行。</w:t>
            </w:r>
          </w:p>
          <w:p>
            <w:pPr>
              <w:adjustRightInd w:val="0"/>
              <w:snapToGrid w:val="0"/>
              <w:ind w:firstLine="420" w:firstLineChars="200"/>
              <w:jc w:val="left"/>
              <w:rPr>
                <w:rFonts w:ascii="宋体" w:hAnsi="宋体" w:cs="宋体"/>
                <w:szCs w:val="21"/>
              </w:rPr>
            </w:pPr>
            <w:r>
              <w:rPr>
                <w:rFonts w:hint="eastAsia" w:ascii="宋体" w:hAnsi="宋体" w:cs="宋体"/>
                <w:szCs w:val="21"/>
              </w:rPr>
              <w:t>3.2 对货物质量标准没有特殊约定的，货物有国家标准的，按照国家标准执行，没有国家标准的，按照行业标准执行。没有国家标准或行业标准的，按照通常标准或符合合同目的的特定标准履行。</w:t>
            </w:r>
          </w:p>
          <w:p>
            <w:pPr>
              <w:adjustRightInd w:val="0"/>
              <w:snapToGrid w:val="0"/>
              <w:ind w:firstLine="420" w:firstLineChars="200"/>
              <w:jc w:val="left"/>
              <w:rPr>
                <w:rFonts w:ascii="宋体" w:hAnsi="宋体" w:cs="宋体"/>
                <w:szCs w:val="21"/>
              </w:rPr>
            </w:pPr>
            <w:r>
              <w:rPr>
                <w:rFonts w:hint="eastAsia" w:ascii="宋体" w:hAnsi="宋体" w:cs="宋体"/>
                <w:szCs w:val="21"/>
              </w:rPr>
              <w:t>3.3质保期一年，质保金为合同总金额的5%。质保期满无质量问题，甲方予以支付质保金。</w:t>
            </w:r>
          </w:p>
          <w:p>
            <w:pPr>
              <w:adjustRightInd w:val="0"/>
              <w:snapToGrid w:val="0"/>
              <w:ind w:firstLine="422" w:firstLineChars="200"/>
              <w:jc w:val="left"/>
              <w:rPr>
                <w:rFonts w:ascii="宋体" w:hAnsi="宋体" w:cs="宋体"/>
                <w:b/>
                <w:szCs w:val="21"/>
              </w:rPr>
            </w:pPr>
            <w:r>
              <w:rPr>
                <w:rFonts w:hint="eastAsia" w:ascii="宋体" w:hAnsi="宋体" w:cs="宋体"/>
                <w:b/>
                <w:szCs w:val="21"/>
              </w:rPr>
              <w:t>第四条 货物验收</w:t>
            </w:r>
          </w:p>
          <w:p>
            <w:pPr>
              <w:adjustRightInd w:val="0"/>
              <w:snapToGrid w:val="0"/>
              <w:ind w:firstLine="420" w:firstLineChars="200"/>
              <w:jc w:val="left"/>
              <w:rPr>
                <w:rFonts w:ascii="宋体" w:hAnsi="宋体" w:cs="宋体"/>
                <w:szCs w:val="21"/>
              </w:rPr>
            </w:pPr>
            <w:r>
              <w:rPr>
                <w:rFonts w:hint="eastAsia" w:ascii="宋体" w:hAnsi="宋体" w:cs="宋体"/>
                <w:szCs w:val="21"/>
              </w:rPr>
              <w:t>4.1 甲方若发现货物数量、质量、包装等与约定不符，可随时就质量问题提出异议,异议提出（方式：包括但不限于电话）三日内如乙方未书面处理则视为对异议的认可。乙方在接到甲方异议后，应在2个工作日内负责处理，否则，即视为默认甲方提出的异议和处理意见。</w:t>
            </w:r>
          </w:p>
          <w:p>
            <w:pPr>
              <w:adjustRightInd w:val="0"/>
              <w:snapToGrid w:val="0"/>
              <w:ind w:firstLine="420" w:firstLineChars="200"/>
              <w:jc w:val="left"/>
              <w:rPr>
                <w:rFonts w:ascii="宋体" w:hAnsi="宋体" w:cs="宋体"/>
                <w:szCs w:val="21"/>
              </w:rPr>
            </w:pPr>
            <w:r>
              <w:rPr>
                <w:rFonts w:hint="eastAsia" w:ascii="宋体" w:hAnsi="宋体" w:cs="宋体"/>
                <w:szCs w:val="21"/>
              </w:rPr>
              <w:t>4.2 货物的合理磅差：以公式计算的合理损耗。货物数量超出合理磅差或合理损耗范围的，按约定单价据实结算。</w:t>
            </w:r>
          </w:p>
          <w:p>
            <w:pPr>
              <w:adjustRightInd w:val="0"/>
              <w:snapToGrid w:val="0"/>
              <w:ind w:firstLine="420" w:firstLineChars="200"/>
              <w:jc w:val="left"/>
              <w:rPr>
                <w:rFonts w:ascii="宋体" w:hAnsi="宋体" w:cs="宋体"/>
                <w:szCs w:val="21"/>
              </w:rPr>
            </w:pPr>
            <w:r>
              <w:rPr>
                <w:rFonts w:hint="eastAsia" w:ascii="宋体" w:hAnsi="宋体" w:cs="宋体"/>
                <w:szCs w:val="21"/>
              </w:rPr>
              <w:t>4.3乙方应在提供货物的同时向甲方提供以下与货物相关的验收资料：产品合格证或检验报告。</w:t>
            </w:r>
          </w:p>
          <w:p>
            <w:pPr>
              <w:adjustRightInd w:val="0"/>
              <w:snapToGrid w:val="0"/>
              <w:ind w:firstLine="420" w:firstLineChars="200"/>
              <w:jc w:val="left"/>
              <w:rPr>
                <w:rFonts w:ascii="宋体" w:hAnsi="宋体" w:cs="宋体"/>
                <w:szCs w:val="21"/>
              </w:rPr>
            </w:pPr>
            <w:r>
              <w:rPr>
                <w:rFonts w:hint="eastAsia" w:ascii="宋体" w:hAnsi="宋体" w:cs="宋体"/>
                <w:szCs w:val="21"/>
              </w:rPr>
              <w:t>4.4 双方对货物质量问题存在异议的，应友好协商解决，协商不成，可提交第三方检验机构检验，检验费用由乙方承担。</w:t>
            </w:r>
          </w:p>
          <w:p>
            <w:pPr>
              <w:adjustRightInd w:val="0"/>
              <w:snapToGrid w:val="0"/>
              <w:ind w:firstLine="420" w:firstLineChars="200"/>
              <w:jc w:val="left"/>
              <w:rPr>
                <w:rFonts w:ascii="宋体" w:hAnsi="宋体" w:cs="宋体"/>
                <w:szCs w:val="21"/>
              </w:rPr>
            </w:pPr>
            <w:r>
              <w:rPr>
                <w:rFonts w:hint="eastAsia" w:ascii="宋体" w:hAnsi="宋体" w:cs="宋体"/>
                <w:szCs w:val="21"/>
              </w:rPr>
              <w:t>4.5货物在交付给甲方且验收通过之前，毁损、灭失风险由乙方承担。</w:t>
            </w:r>
          </w:p>
          <w:p>
            <w:pPr>
              <w:adjustRightInd w:val="0"/>
              <w:snapToGrid w:val="0"/>
              <w:ind w:firstLine="422" w:firstLineChars="200"/>
              <w:jc w:val="left"/>
              <w:rPr>
                <w:rFonts w:ascii="宋体" w:hAnsi="宋体" w:cs="宋体"/>
                <w:b/>
                <w:szCs w:val="21"/>
              </w:rPr>
            </w:pPr>
            <w:r>
              <w:rPr>
                <w:rFonts w:hint="eastAsia" w:ascii="宋体" w:hAnsi="宋体" w:cs="宋体"/>
                <w:b/>
                <w:szCs w:val="21"/>
              </w:rPr>
              <w:t>第五条 价款和结算</w:t>
            </w:r>
          </w:p>
          <w:p>
            <w:pPr>
              <w:adjustRightInd w:val="0"/>
              <w:snapToGrid w:val="0"/>
              <w:ind w:firstLine="420" w:firstLineChars="200"/>
              <w:jc w:val="left"/>
              <w:rPr>
                <w:rFonts w:ascii="宋体" w:hAnsi="宋体" w:cs="宋体"/>
                <w:szCs w:val="21"/>
              </w:rPr>
            </w:pPr>
            <w:r>
              <w:rPr>
                <w:rFonts w:hint="eastAsia" w:ascii="宋体" w:hAnsi="宋体" w:cs="宋体"/>
                <w:szCs w:val="21"/>
              </w:rPr>
              <w:t>5.1 支付方式：电汇、银行汇票或银行承兑汇票（承兑不贴息），货到验收合格乙方开具全额13%增值税专用发票送交甲方挂账后分期付款。</w:t>
            </w:r>
          </w:p>
          <w:p>
            <w:pPr>
              <w:adjustRightInd w:val="0"/>
              <w:snapToGrid w:val="0"/>
              <w:ind w:firstLine="420" w:firstLineChars="200"/>
              <w:jc w:val="left"/>
              <w:rPr>
                <w:rFonts w:ascii="宋体" w:hAnsi="宋体" w:cs="宋体"/>
                <w:szCs w:val="21"/>
              </w:rPr>
            </w:pPr>
            <w:r>
              <w:rPr>
                <w:rFonts w:hint="eastAsia" w:ascii="宋体" w:hAnsi="宋体" w:cs="宋体"/>
                <w:szCs w:val="21"/>
              </w:rPr>
              <w:t>5.2 乙方开具增值税专用发票，税率为**%</w:t>
            </w:r>
            <w:r>
              <w:rPr>
                <w:rStyle w:val="28"/>
                <w:rFonts w:ascii="宋体" w:hAnsi="宋体" w:cs="宋体"/>
                <w:szCs w:val="21"/>
              </w:rPr>
              <w:footnoteReference w:id="0"/>
            </w:r>
            <w:r>
              <w:rPr>
                <w:rFonts w:hint="eastAsia" w:ascii="宋体" w:hAnsi="宋体" w:cs="宋体"/>
                <w:szCs w:val="21"/>
              </w:rPr>
              <w:t>，若合同履行期间，遇国家税率调整，则保持无税价不变，按照纳税义务发生时间对应的税率开具发票。</w:t>
            </w:r>
          </w:p>
          <w:p>
            <w:pPr>
              <w:adjustRightInd w:val="0"/>
              <w:snapToGrid w:val="0"/>
              <w:ind w:firstLine="422" w:firstLineChars="200"/>
              <w:jc w:val="left"/>
              <w:rPr>
                <w:rFonts w:ascii="宋体" w:hAnsi="宋体" w:cs="宋体"/>
                <w:b/>
                <w:szCs w:val="21"/>
              </w:rPr>
            </w:pPr>
            <w:r>
              <w:rPr>
                <w:rFonts w:hint="eastAsia" w:ascii="宋体" w:hAnsi="宋体" w:cs="宋体"/>
                <w:b/>
                <w:szCs w:val="21"/>
              </w:rPr>
              <w:t>第六条 违约责任</w:t>
            </w:r>
          </w:p>
          <w:p>
            <w:pPr>
              <w:adjustRightInd w:val="0"/>
              <w:snapToGrid w:val="0"/>
              <w:ind w:firstLine="420" w:firstLineChars="200"/>
              <w:jc w:val="left"/>
              <w:rPr>
                <w:rFonts w:ascii="宋体" w:hAnsi="宋体" w:cs="宋体"/>
                <w:szCs w:val="21"/>
              </w:rPr>
            </w:pPr>
            <w:r>
              <w:rPr>
                <w:rFonts w:hint="eastAsia" w:ascii="宋体" w:hAnsi="宋体" w:cs="宋体"/>
                <w:szCs w:val="21"/>
              </w:rPr>
              <w:t>6.1 乙方逾期交货的，每日按不能交货部分货款的3‰向甲方支付违约金；乙方逾期交货超过100天，甲方可解除本合同，乙方按合同总价的10%支付违约金。</w:t>
            </w:r>
          </w:p>
          <w:p>
            <w:pPr>
              <w:adjustRightInd w:val="0"/>
              <w:snapToGrid w:val="0"/>
              <w:ind w:firstLine="420" w:firstLineChars="200"/>
              <w:jc w:val="left"/>
              <w:rPr>
                <w:rFonts w:ascii="宋体" w:hAnsi="宋体" w:cs="宋体"/>
                <w:szCs w:val="21"/>
              </w:rPr>
            </w:pPr>
            <w:r>
              <w:rPr>
                <w:rFonts w:hint="eastAsia" w:ascii="宋体" w:hAnsi="宋体" w:cs="宋体"/>
                <w:szCs w:val="21"/>
              </w:rPr>
              <w:t>6.2 乙方所交货物不符合本合同约定，甲方有权退货，乙方应承担退货而产生的实际费用，按合同总价的20%向甲方支付违约金。</w:t>
            </w:r>
          </w:p>
          <w:p>
            <w:pPr>
              <w:adjustRightInd w:val="0"/>
              <w:snapToGrid w:val="0"/>
              <w:ind w:firstLine="420" w:firstLineChars="200"/>
              <w:jc w:val="left"/>
              <w:rPr>
                <w:rFonts w:ascii="宋体" w:hAnsi="宋体" w:cs="宋体"/>
                <w:szCs w:val="21"/>
              </w:rPr>
            </w:pPr>
            <w:r>
              <w:rPr>
                <w:rFonts w:hint="eastAsia" w:ascii="宋体" w:hAnsi="宋体" w:cs="宋体"/>
                <w:szCs w:val="21"/>
              </w:rPr>
              <w:t>6.3如货物包装不当，甲方可以拒绝接收，乙方应承担由此给甲方造成的一切费用和损失；若包装瑕疵严重，甲方有权单方解除合同。如甲方解除合同，乙方按合同总价的20%向甲方支付违约金。</w:t>
            </w:r>
          </w:p>
          <w:p>
            <w:pPr>
              <w:adjustRightInd w:val="0"/>
              <w:snapToGrid w:val="0"/>
              <w:ind w:firstLine="420" w:firstLineChars="200"/>
              <w:jc w:val="left"/>
              <w:rPr>
                <w:rFonts w:ascii="宋体" w:hAnsi="宋体" w:cs="宋体"/>
                <w:szCs w:val="21"/>
              </w:rPr>
            </w:pPr>
            <w:r>
              <w:rPr>
                <w:rFonts w:hint="eastAsia" w:ascii="宋体" w:hAnsi="宋体" w:cs="宋体"/>
                <w:szCs w:val="21"/>
              </w:rPr>
              <w:t>6.4乙方应当在交付货物时向甲方提供货物的相关单证与资料，否则甲方有权拒绝接收该批货物，乙方供货期限不予顺延，乙方应承担由此给甲方造成的一切费用和损失。</w:t>
            </w:r>
          </w:p>
          <w:p>
            <w:pPr>
              <w:adjustRightInd w:val="0"/>
              <w:snapToGrid w:val="0"/>
              <w:ind w:firstLine="420" w:firstLineChars="200"/>
              <w:jc w:val="left"/>
              <w:rPr>
                <w:rFonts w:ascii="宋体" w:hAnsi="宋体" w:cs="宋体"/>
                <w:szCs w:val="21"/>
              </w:rPr>
            </w:pPr>
            <w:r>
              <w:rPr>
                <w:rFonts w:hint="eastAsia" w:ascii="宋体" w:hAnsi="宋体" w:cs="宋体"/>
                <w:szCs w:val="21"/>
              </w:rPr>
              <w:t>6.5因乙方逾期交货、货物质量不合格等违约行为，导致甲方受损的，应由乙方承担。</w:t>
            </w:r>
          </w:p>
          <w:p>
            <w:pPr>
              <w:adjustRightInd w:val="0"/>
              <w:snapToGrid w:val="0"/>
              <w:ind w:firstLine="420" w:firstLineChars="200"/>
              <w:jc w:val="left"/>
              <w:rPr>
                <w:rFonts w:ascii="宋体" w:hAnsi="宋体" w:cs="宋体"/>
                <w:bCs/>
                <w:szCs w:val="21"/>
                <w:u w:val="single"/>
              </w:rPr>
            </w:pPr>
            <w:r>
              <w:rPr>
                <w:rFonts w:hint="eastAsia" w:ascii="宋体" w:hAnsi="宋体" w:cs="宋体"/>
                <w:szCs w:val="21"/>
              </w:rPr>
              <w:t>6.6乙方应就本合同约定之业务向甲方开具真实、合法、有效的发票，若因乙方自身原因或所开发票本身之问题造成甲方日后发生税收风险而产生的经济损失，应由乙方承担，甲方保留进一步提起法律诉讼之权利。</w:t>
            </w:r>
          </w:p>
          <w:p>
            <w:pPr>
              <w:adjustRightInd w:val="0"/>
              <w:snapToGrid w:val="0"/>
              <w:ind w:firstLine="422" w:firstLineChars="200"/>
              <w:jc w:val="left"/>
              <w:rPr>
                <w:rFonts w:ascii="宋体" w:hAnsi="宋体" w:cs="宋体"/>
                <w:b/>
                <w:szCs w:val="21"/>
              </w:rPr>
            </w:pPr>
            <w:r>
              <w:rPr>
                <w:rFonts w:hint="eastAsia" w:ascii="宋体" w:hAnsi="宋体" w:cs="宋体"/>
                <w:b/>
                <w:szCs w:val="21"/>
              </w:rPr>
              <w:t>第七条 保密</w:t>
            </w:r>
          </w:p>
          <w:p>
            <w:pPr>
              <w:adjustRightInd w:val="0"/>
              <w:snapToGrid w:val="0"/>
              <w:ind w:firstLine="420" w:firstLineChars="200"/>
              <w:jc w:val="left"/>
              <w:rPr>
                <w:rFonts w:ascii="宋体" w:hAnsi="宋体" w:cs="宋体"/>
                <w:szCs w:val="21"/>
              </w:rPr>
            </w:pPr>
            <w:r>
              <w:rPr>
                <w:rFonts w:hint="eastAsia" w:ascii="宋体" w:hAnsi="宋体" w:cs="宋体"/>
                <w:szCs w:val="21"/>
              </w:rPr>
              <w:t>7.1本合同一方因本合同的洽谈、缔约以及履行过程中而获得或知悉的对方任何无法自公开渠道获得的资料和信息（包括商业秘密、计划、运营活动、财务信息、技术信息、经营信息及其他商业秘密）均视为保密内容，信息接收方应当承担保密义务。信息接收方未经信息披露方书面同意，不可将保密内容以任何方式透露给第三方或用于本合同以外其他事项，但法律、法规另有规定或双方另有约定除外。保密期限为壹年。</w:t>
            </w:r>
          </w:p>
          <w:p>
            <w:pPr>
              <w:adjustRightInd w:val="0"/>
              <w:snapToGrid w:val="0"/>
              <w:ind w:firstLine="420" w:firstLineChars="200"/>
              <w:jc w:val="left"/>
              <w:rPr>
                <w:rFonts w:ascii="宋体" w:hAnsi="宋体" w:cs="宋体"/>
                <w:szCs w:val="21"/>
              </w:rPr>
            </w:pPr>
            <w:r>
              <w:rPr>
                <w:rFonts w:hint="eastAsia" w:ascii="宋体" w:hAnsi="宋体" w:cs="宋体"/>
                <w:szCs w:val="21"/>
              </w:rPr>
              <w:t>7.2本条款不因合同的不生效、合同的无效或者部分无效、合同的终止或者部分终止而失去约束力。</w:t>
            </w:r>
          </w:p>
          <w:p>
            <w:pPr>
              <w:adjustRightInd w:val="0"/>
              <w:snapToGrid w:val="0"/>
              <w:ind w:firstLine="422" w:firstLineChars="200"/>
              <w:jc w:val="left"/>
              <w:rPr>
                <w:rFonts w:ascii="宋体" w:hAnsi="宋体" w:cs="宋体"/>
                <w:b/>
                <w:szCs w:val="21"/>
              </w:rPr>
            </w:pPr>
            <w:r>
              <w:rPr>
                <w:rFonts w:hint="eastAsia" w:ascii="宋体" w:hAnsi="宋体" w:cs="宋体"/>
                <w:b/>
                <w:szCs w:val="21"/>
              </w:rPr>
              <w:t>第八条 通知</w:t>
            </w:r>
          </w:p>
          <w:p>
            <w:pPr>
              <w:adjustRightInd w:val="0"/>
              <w:snapToGrid w:val="0"/>
              <w:ind w:firstLine="420" w:firstLineChars="200"/>
              <w:jc w:val="left"/>
              <w:rPr>
                <w:rFonts w:ascii="宋体" w:hAnsi="宋体" w:cs="宋体"/>
                <w:szCs w:val="21"/>
              </w:rPr>
            </w:pPr>
            <w:r>
              <w:rPr>
                <w:rFonts w:hint="eastAsia" w:ascii="宋体" w:hAnsi="宋体" w:cs="宋体"/>
                <w:szCs w:val="21"/>
              </w:rPr>
              <w:t>8.1根据本合同需要一方向另一方发出的全部通知、要求以及双方的文件往来及与本合同有关的通知和要求等，可采用当面送交、邮件、传真、书信、电报等书面方式发出。以上方式无法送达的，方可采取公告送达的方式。</w:t>
            </w:r>
          </w:p>
          <w:p>
            <w:pPr>
              <w:adjustRightInd w:val="0"/>
              <w:snapToGrid w:val="0"/>
              <w:ind w:firstLine="420" w:firstLineChars="200"/>
              <w:jc w:val="left"/>
              <w:rPr>
                <w:rFonts w:ascii="宋体" w:hAnsi="宋体" w:cs="宋体"/>
                <w:szCs w:val="21"/>
              </w:rPr>
            </w:pPr>
            <w:r>
              <w:rPr>
                <w:rFonts w:hint="eastAsia" w:ascii="宋体" w:hAnsi="宋体" w:cs="宋体"/>
                <w:szCs w:val="21"/>
              </w:rPr>
              <w:t>8.2 双方通讯地址如下：</w:t>
            </w:r>
          </w:p>
          <w:p>
            <w:pPr>
              <w:adjustRightInd w:val="0"/>
              <w:snapToGrid w:val="0"/>
              <w:ind w:firstLine="420" w:firstLineChars="200"/>
              <w:jc w:val="left"/>
              <w:rPr>
                <w:rFonts w:ascii="宋体" w:hAnsi="宋体" w:cs="宋体"/>
                <w:color w:val="0000FF"/>
                <w:szCs w:val="21"/>
              </w:rPr>
            </w:pPr>
            <w:r>
              <w:rPr>
                <w:rFonts w:hint="eastAsia" w:ascii="宋体" w:hAnsi="宋体" w:cs="宋体"/>
                <w:color w:val="0000FF"/>
                <w:szCs w:val="21"/>
              </w:rPr>
              <w:t>甲方：河南省修武县七贤镇  营销采购中心。</w:t>
            </w:r>
          </w:p>
          <w:p>
            <w:pPr>
              <w:adjustRightInd w:val="0"/>
              <w:snapToGrid w:val="0"/>
              <w:ind w:firstLine="420" w:firstLineChars="200"/>
              <w:jc w:val="left"/>
              <w:rPr>
                <w:rFonts w:ascii="宋体" w:hAnsi="宋体" w:cs="宋体"/>
                <w:color w:val="0000FF"/>
                <w:szCs w:val="21"/>
              </w:rPr>
            </w:pPr>
            <w:r>
              <w:rPr>
                <w:rFonts w:hint="eastAsia" w:ascii="宋体" w:hAnsi="宋体" w:cs="宋体"/>
                <w:color w:val="0000FF"/>
                <w:szCs w:val="21"/>
              </w:rPr>
              <w:t>乙方：*****************</w:t>
            </w:r>
            <w:r>
              <w:rPr>
                <w:rFonts w:ascii="宋体" w:hAnsi="宋体" w:cs="宋体"/>
                <w:color w:val="0000FF"/>
                <w:szCs w:val="21"/>
              </w:rPr>
              <w:t xml:space="preserve"> </w:t>
            </w:r>
          </w:p>
          <w:p>
            <w:pPr>
              <w:adjustRightInd w:val="0"/>
              <w:snapToGrid w:val="0"/>
              <w:ind w:firstLine="420" w:firstLineChars="200"/>
              <w:jc w:val="left"/>
              <w:rPr>
                <w:rFonts w:ascii="宋体" w:hAnsi="宋体" w:cs="宋体"/>
                <w:szCs w:val="21"/>
              </w:rPr>
            </w:pPr>
            <w:r>
              <w:rPr>
                <w:rFonts w:hint="eastAsia" w:ascii="宋体" w:hAnsi="宋体" w:cs="宋体"/>
                <w:szCs w:val="21"/>
              </w:rPr>
              <w:t>8.3上述送达地址的适用范围包括双方发生纠纷进入诉讼、仲裁程序时法律文书及其他相关文件的送达。</w:t>
            </w:r>
          </w:p>
          <w:p>
            <w:pPr>
              <w:adjustRightInd w:val="0"/>
              <w:snapToGrid w:val="0"/>
              <w:ind w:firstLine="420" w:firstLineChars="200"/>
              <w:jc w:val="left"/>
              <w:rPr>
                <w:rFonts w:ascii="宋体" w:hAnsi="宋体" w:cs="宋体"/>
                <w:szCs w:val="21"/>
              </w:rPr>
            </w:pPr>
            <w:r>
              <w:rPr>
                <w:rFonts w:hint="eastAsia" w:ascii="宋体" w:hAnsi="宋体" w:cs="宋体"/>
                <w:szCs w:val="21"/>
              </w:rPr>
              <w:t>8.4一方变更通知或通讯地址，应自变更之日起3日内，以书面形式通知对方，否则，由未通知方承担由此而引起的相关责任。</w:t>
            </w:r>
          </w:p>
          <w:p>
            <w:pPr>
              <w:adjustRightInd w:val="0"/>
              <w:snapToGrid w:val="0"/>
              <w:ind w:firstLine="420" w:firstLineChars="200"/>
              <w:jc w:val="left"/>
              <w:rPr>
                <w:rFonts w:ascii="宋体" w:hAnsi="宋体" w:cs="宋体"/>
                <w:szCs w:val="21"/>
              </w:rPr>
            </w:pPr>
            <w:r>
              <w:rPr>
                <w:rFonts w:hint="eastAsia" w:ascii="宋体" w:hAnsi="宋体" w:cs="宋体"/>
                <w:szCs w:val="21"/>
              </w:rPr>
              <w:t>8.5因一方提供的送达地址不准确、送达地址变更后未依据程序及时告知对方、被送达方拒绝签收等原因导致通知、文书等无法实际接收的，邮寄送达的，以文书被退回之日视为送达之日；直接送达的，送达人当场在送达回证上记明情况之日为送达之日；电子邮件或传真方式送达的，以邮件、传真发出之日作为送达之日。</w:t>
            </w:r>
          </w:p>
          <w:p>
            <w:pPr>
              <w:adjustRightInd w:val="0"/>
              <w:snapToGrid w:val="0"/>
              <w:ind w:firstLine="422" w:firstLineChars="200"/>
              <w:jc w:val="left"/>
              <w:rPr>
                <w:rFonts w:ascii="宋体" w:hAnsi="宋体" w:cs="宋体"/>
                <w:b/>
                <w:szCs w:val="21"/>
              </w:rPr>
            </w:pPr>
            <w:r>
              <w:rPr>
                <w:rFonts w:hint="eastAsia" w:ascii="宋体" w:hAnsi="宋体" w:cs="宋体"/>
                <w:b/>
                <w:szCs w:val="21"/>
              </w:rPr>
              <w:t>第九条 合同的变更和解除</w:t>
            </w:r>
          </w:p>
          <w:p>
            <w:pPr>
              <w:adjustRightInd w:val="0"/>
              <w:snapToGrid w:val="0"/>
              <w:ind w:firstLine="420" w:firstLineChars="200"/>
              <w:jc w:val="left"/>
              <w:rPr>
                <w:rFonts w:ascii="宋体" w:hAnsi="宋体" w:cs="宋体"/>
                <w:szCs w:val="21"/>
              </w:rPr>
            </w:pPr>
            <w:r>
              <w:rPr>
                <w:rFonts w:hint="eastAsia" w:ascii="宋体" w:hAnsi="宋体" w:cs="宋体"/>
                <w:szCs w:val="21"/>
              </w:rPr>
              <w:t>9.1本合同履行期间，发生特殊情况时，任何一方需变更本合同的，变更一方应及时书面通知对方，征得对方同意后签订书面变更合同，该合同将成为本合同不可分割的部分。未经双方签署书面文件，任何一方无权变更本合同，否则，由此造成对方的经济损失，由责任方承担。</w:t>
            </w:r>
          </w:p>
          <w:p>
            <w:pPr>
              <w:adjustRightInd w:val="0"/>
              <w:snapToGrid w:val="0"/>
              <w:ind w:firstLine="420" w:firstLineChars="200"/>
              <w:jc w:val="left"/>
              <w:rPr>
                <w:rFonts w:ascii="宋体" w:hAnsi="宋体" w:cs="宋体"/>
                <w:szCs w:val="21"/>
              </w:rPr>
            </w:pPr>
            <w:r>
              <w:rPr>
                <w:rFonts w:hint="eastAsia" w:ascii="宋体" w:hAnsi="宋体" w:cs="宋体"/>
                <w:szCs w:val="21"/>
              </w:rPr>
              <w:t>9.2下列情形下，双方可解除合同：</w:t>
            </w:r>
          </w:p>
          <w:p>
            <w:pPr>
              <w:adjustRightInd w:val="0"/>
              <w:snapToGrid w:val="0"/>
              <w:ind w:firstLine="420" w:firstLineChars="200"/>
              <w:jc w:val="left"/>
              <w:rPr>
                <w:rFonts w:ascii="宋体" w:hAnsi="宋体" w:cs="宋体"/>
                <w:szCs w:val="21"/>
              </w:rPr>
            </w:pPr>
            <w:r>
              <w:rPr>
                <w:rFonts w:hint="eastAsia" w:ascii="宋体" w:hAnsi="宋体" w:cs="宋体"/>
                <w:szCs w:val="21"/>
              </w:rPr>
              <w:t>（1）双方协商一致解除本合同；</w:t>
            </w:r>
          </w:p>
          <w:p>
            <w:pPr>
              <w:adjustRightInd w:val="0"/>
              <w:snapToGrid w:val="0"/>
              <w:ind w:firstLine="420" w:firstLineChars="200"/>
              <w:jc w:val="left"/>
              <w:rPr>
                <w:rFonts w:ascii="宋体" w:hAnsi="宋体" w:cs="宋体"/>
                <w:szCs w:val="21"/>
              </w:rPr>
            </w:pPr>
            <w:r>
              <w:rPr>
                <w:rFonts w:hint="eastAsia" w:ascii="宋体" w:hAnsi="宋体" w:cs="宋体"/>
                <w:szCs w:val="21"/>
              </w:rPr>
              <w:t>（2）一方根据本合同约定单方解除本合同；</w:t>
            </w:r>
          </w:p>
          <w:p>
            <w:pPr>
              <w:adjustRightInd w:val="0"/>
              <w:snapToGrid w:val="0"/>
              <w:ind w:firstLine="420" w:firstLineChars="200"/>
              <w:jc w:val="left"/>
              <w:rPr>
                <w:rFonts w:ascii="宋体" w:hAnsi="宋体" w:cs="宋体"/>
                <w:szCs w:val="21"/>
              </w:rPr>
            </w:pPr>
            <w:r>
              <w:rPr>
                <w:rFonts w:hint="eastAsia" w:ascii="宋体" w:hAnsi="宋体" w:cs="宋体"/>
                <w:szCs w:val="21"/>
              </w:rPr>
              <w:t>（3）一方未及时、全面、正确履行合同约定之义务的，经另一方书面催告后30日内仍不纠正或未能整改到位的，一方将有权解除合同；</w:t>
            </w:r>
          </w:p>
          <w:p>
            <w:pPr>
              <w:adjustRightInd w:val="0"/>
              <w:snapToGrid w:val="0"/>
              <w:ind w:firstLine="420" w:firstLineChars="200"/>
              <w:jc w:val="left"/>
              <w:rPr>
                <w:rFonts w:ascii="宋体" w:hAnsi="宋体" w:cs="宋体"/>
                <w:szCs w:val="21"/>
              </w:rPr>
            </w:pPr>
            <w:r>
              <w:rPr>
                <w:rFonts w:hint="eastAsia" w:ascii="宋体" w:hAnsi="宋体" w:cs="宋体"/>
                <w:szCs w:val="21"/>
              </w:rPr>
              <w:t>（4）因不可抗力致使合同无法履行；</w:t>
            </w:r>
          </w:p>
          <w:p>
            <w:pPr>
              <w:adjustRightInd w:val="0"/>
              <w:snapToGrid w:val="0"/>
              <w:ind w:firstLine="420" w:firstLineChars="200"/>
              <w:jc w:val="left"/>
              <w:rPr>
                <w:rFonts w:ascii="宋体" w:hAnsi="宋体" w:cs="宋体"/>
                <w:szCs w:val="21"/>
              </w:rPr>
            </w:pPr>
            <w:r>
              <w:rPr>
                <w:rFonts w:hint="eastAsia" w:ascii="宋体" w:hAnsi="宋体" w:cs="宋体"/>
                <w:szCs w:val="21"/>
              </w:rPr>
              <w:t>（5）其它法律法规规定的情形。</w:t>
            </w:r>
          </w:p>
          <w:p>
            <w:pPr>
              <w:adjustRightInd w:val="0"/>
              <w:snapToGrid w:val="0"/>
              <w:ind w:firstLine="420" w:firstLineChars="200"/>
              <w:jc w:val="left"/>
              <w:rPr>
                <w:rFonts w:ascii="宋体" w:hAnsi="宋体" w:cs="宋体"/>
                <w:szCs w:val="21"/>
              </w:rPr>
            </w:pPr>
            <w:r>
              <w:rPr>
                <w:rFonts w:hint="eastAsia" w:ascii="宋体" w:hAnsi="宋体" w:cs="宋体"/>
                <w:szCs w:val="21"/>
              </w:rPr>
              <w:t>9.3 合同解除后，不影响双方在合同中约定的结算、清理和保密条款的效力。</w:t>
            </w:r>
          </w:p>
          <w:p>
            <w:pPr>
              <w:adjustRightInd w:val="0"/>
              <w:snapToGrid w:val="0"/>
              <w:ind w:firstLine="422" w:firstLineChars="200"/>
              <w:jc w:val="left"/>
              <w:rPr>
                <w:rFonts w:ascii="宋体" w:hAnsi="宋体" w:cs="宋体"/>
                <w:b/>
                <w:szCs w:val="21"/>
              </w:rPr>
            </w:pPr>
            <w:r>
              <w:rPr>
                <w:rFonts w:hint="eastAsia" w:ascii="宋体" w:hAnsi="宋体" w:cs="宋体"/>
                <w:b/>
                <w:szCs w:val="21"/>
              </w:rPr>
              <w:t>第十条 不可抗力</w:t>
            </w:r>
          </w:p>
          <w:p>
            <w:pPr>
              <w:adjustRightInd w:val="0"/>
              <w:snapToGrid w:val="0"/>
              <w:ind w:firstLine="420" w:firstLineChars="200"/>
              <w:jc w:val="left"/>
              <w:rPr>
                <w:rFonts w:ascii="宋体" w:hAnsi="宋体" w:cs="宋体"/>
                <w:szCs w:val="21"/>
              </w:rPr>
            </w:pPr>
            <w:r>
              <w:rPr>
                <w:rFonts w:hint="eastAsia" w:ascii="宋体" w:hAnsi="宋体" w:cs="宋体"/>
                <w:szCs w:val="21"/>
              </w:rPr>
              <w:t>10.1不可抗力指签署本合同时不能预见、不能避免、不能克服的，且导致本合同全部或者部分不能履行或者不能按时履行的客观情况，包括但不限于，政府行为、自然灾害、火灾、爆炸、台风、洪水、地震、海啸、雷电或战争。任何信用、资本或资金短缺不应视为本合同项下的不可抗力事件范围。</w:t>
            </w:r>
          </w:p>
          <w:p>
            <w:pPr>
              <w:adjustRightInd w:val="0"/>
              <w:snapToGrid w:val="0"/>
              <w:ind w:firstLine="420" w:firstLineChars="200"/>
              <w:jc w:val="left"/>
              <w:rPr>
                <w:rFonts w:ascii="宋体" w:hAnsi="宋体" w:cs="宋体"/>
                <w:szCs w:val="21"/>
              </w:rPr>
            </w:pPr>
            <w:r>
              <w:rPr>
                <w:rFonts w:hint="eastAsia" w:ascii="宋体" w:hAnsi="宋体" w:cs="宋体"/>
                <w:szCs w:val="21"/>
              </w:rPr>
              <w:t>10.2因遭受不可抗力事件导致不能履行或不能完全履行合同的一方应立即用最可能实现的最快捷方式通知另一方该事件的性质、发生日期、预计持续时间等有关的细节，以及该事件阻碍通知方履行其于本合同项下义务的程度。若遭受不可抗力事件的一方怠于履行通知义务的，由此而导致的损失由该方承担。</w:t>
            </w:r>
          </w:p>
          <w:p>
            <w:pPr>
              <w:adjustRightInd w:val="0"/>
              <w:snapToGrid w:val="0"/>
              <w:ind w:firstLine="420" w:firstLineChars="200"/>
              <w:jc w:val="left"/>
              <w:rPr>
                <w:rFonts w:ascii="宋体" w:hAnsi="宋体" w:cs="宋体"/>
                <w:szCs w:val="21"/>
              </w:rPr>
            </w:pPr>
            <w:r>
              <w:rPr>
                <w:rFonts w:hint="eastAsia" w:ascii="宋体" w:hAnsi="宋体" w:cs="宋体"/>
                <w:szCs w:val="21"/>
              </w:rPr>
              <w:t>10.3遭受不可抗力事件的一方应当自不可抗力事件发生之日起十天内向另一方提供由不可抗力发生地市级以上有关行政管理部门出具的证实不可抗力事件发生的证明，如其不能提供该等证明，另一方可根据本合同的规定要求其承担违约责任。</w:t>
            </w:r>
          </w:p>
          <w:p>
            <w:pPr>
              <w:adjustRightInd w:val="0"/>
              <w:snapToGrid w:val="0"/>
              <w:ind w:firstLine="420" w:firstLineChars="200"/>
              <w:jc w:val="left"/>
              <w:rPr>
                <w:rFonts w:ascii="宋体" w:hAnsi="宋体" w:cs="宋体"/>
                <w:szCs w:val="21"/>
              </w:rPr>
            </w:pPr>
            <w:r>
              <w:rPr>
                <w:rFonts w:hint="eastAsia" w:ascii="宋体" w:hAnsi="宋体" w:cs="宋体"/>
                <w:szCs w:val="21"/>
              </w:rPr>
              <w:t>10.4由于不可抗力的原因导致不能履行或不能完全履行合同的，经双方协商，允许延期履行、部分履行或者不履行合同，并根据情况可部分或全部免予承担违约责任。</w:t>
            </w:r>
          </w:p>
          <w:p>
            <w:pPr>
              <w:adjustRightInd w:val="0"/>
              <w:snapToGrid w:val="0"/>
              <w:ind w:firstLine="420" w:firstLineChars="200"/>
              <w:jc w:val="left"/>
              <w:rPr>
                <w:rFonts w:ascii="宋体" w:hAnsi="宋体" w:cs="宋体"/>
                <w:szCs w:val="21"/>
              </w:rPr>
            </w:pPr>
            <w:r>
              <w:rPr>
                <w:rFonts w:hint="eastAsia" w:ascii="宋体" w:hAnsi="宋体" w:cs="宋体"/>
                <w:szCs w:val="21"/>
              </w:rPr>
              <w:t>10.5如不可抗力事件延续到一百二十天以上时，双方应通过友好协商尽快解决是否继续履行合同的问题。</w:t>
            </w:r>
          </w:p>
          <w:p>
            <w:pPr>
              <w:adjustRightInd w:val="0"/>
              <w:snapToGrid w:val="0"/>
              <w:ind w:firstLine="422" w:firstLineChars="200"/>
              <w:jc w:val="left"/>
              <w:rPr>
                <w:rFonts w:ascii="宋体" w:hAnsi="宋体" w:cs="宋体"/>
                <w:b/>
                <w:szCs w:val="21"/>
              </w:rPr>
            </w:pPr>
            <w:r>
              <w:rPr>
                <w:rFonts w:hint="eastAsia" w:ascii="宋体" w:hAnsi="宋体" w:cs="宋体"/>
                <w:b/>
                <w:szCs w:val="21"/>
              </w:rPr>
              <w:t>第十一条 争议解决</w:t>
            </w:r>
          </w:p>
          <w:p>
            <w:pPr>
              <w:adjustRightInd w:val="0"/>
              <w:snapToGrid w:val="0"/>
              <w:ind w:firstLine="420" w:firstLineChars="200"/>
              <w:jc w:val="left"/>
              <w:rPr>
                <w:rFonts w:ascii="宋体" w:hAnsi="宋体" w:cs="宋体"/>
                <w:szCs w:val="21"/>
              </w:rPr>
            </w:pPr>
            <w:r>
              <w:rPr>
                <w:rFonts w:hint="eastAsia" w:ascii="宋体" w:hAnsi="宋体" w:cs="宋体"/>
                <w:szCs w:val="21"/>
              </w:rPr>
              <w:t>11.1因本合同的签订、履行发生争议，由双方当事人协商解决，协商不成的，依法向合同签订地有管辖权的人民法院起诉。</w:t>
            </w:r>
          </w:p>
          <w:p>
            <w:pPr>
              <w:adjustRightInd w:val="0"/>
              <w:snapToGrid w:val="0"/>
              <w:ind w:firstLine="420" w:firstLineChars="200"/>
              <w:jc w:val="left"/>
              <w:rPr>
                <w:rFonts w:ascii="宋体" w:hAnsi="宋体" w:cs="宋体"/>
                <w:szCs w:val="21"/>
              </w:rPr>
            </w:pPr>
            <w:r>
              <w:rPr>
                <w:rFonts w:hint="eastAsia" w:ascii="宋体" w:hAnsi="宋体" w:cs="宋体"/>
                <w:szCs w:val="21"/>
              </w:rPr>
              <w:t>11.2守约方因处理争议而产生的律师代理费、差旅费等全部费用，由违约方承担。</w:t>
            </w:r>
          </w:p>
          <w:p>
            <w:pPr>
              <w:adjustRightInd w:val="0"/>
              <w:snapToGrid w:val="0"/>
              <w:ind w:firstLine="422" w:firstLineChars="200"/>
              <w:jc w:val="left"/>
              <w:rPr>
                <w:rFonts w:ascii="宋体" w:hAnsi="宋体" w:cs="宋体"/>
                <w:b/>
                <w:szCs w:val="21"/>
              </w:rPr>
            </w:pPr>
            <w:r>
              <w:rPr>
                <w:rFonts w:hint="eastAsia" w:ascii="宋体" w:hAnsi="宋体" w:cs="宋体"/>
                <w:b/>
                <w:szCs w:val="21"/>
              </w:rPr>
              <w:t>第十二条 其他约定</w:t>
            </w:r>
          </w:p>
          <w:p>
            <w:pPr>
              <w:adjustRightInd w:val="0"/>
              <w:snapToGrid w:val="0"/>
              <w:ind w:firstLine="420" w:firstLineChars="200"/>
              <w:jc w:val="left"/>
              <w:rPr>
                <w:rFonts w:ascii="宋体" w:hAnsi="宋体" w:cs="宋体"/>
                <w:szCs w:val="21"/>
              </w:rPr>
            </w:pPr>
            <w:r>
              <w:rPr>
                <w:rFonts w:hint="eastAsia" w:ascii="宋体" w:hAnsi="宋体" w:cs="宋体"/>
                <w:szCs w:val="21"/>
              </w:rPr>
              <w:t>12.1 乙方免费负责现场安装调试的技术指导，使用周期不低于</w:t>
            </w:r>
            <w:r>
              <w:rPr>
                <w:rFonts w:hint="eastAsia" w:ascii="宋体" w:hAnsi="宋体" w:cs="宋体"/>
                <w:szCs w:val="21"/>
                <w:lang w:val="en-US" w:eastAsia="zh-CN"/>
              </w:rPr>
              <w:t>报价</w:t>
            </w:r>
            <w:r>
              <w:rPr>
                <w:rFonts w:hint="eastAsia" w:ascii="宋体" w:hAnsi="宋体" w:cs="宋体"/>
                <w:szCs w:val="21"/>
              </w:rPr>
              <w:t>承诺。</w:t>
            </w:r>
          </w:p>
          <w:p>
            <w:pPr>
              <w:adjustRightInd w:val="0"/>
              <w:snapToGrid w:val="0"/>
              <w:ind w:firstLine="420" w:firstLineChars="200"/>
              <w:jc w:val="left"/>
              <w:rPr>
                <w:rFonts w:ascii="宋体" w:hAnsi="宋体" w:cs="宋体"/>
                <w:color w:val="0000FF"/>
                <w:szCs w:val="21"/>
              </w:rPr>
            </w:pPr>
            <w:r>
              <w:rPr>
                <w:rFonts w:hint="eastAsia" w:ascii="宋体" w:hAnsi="宋体" w:cs="宋体"/>
                <w:color w:val="0000FF"/>
                <w:szCs w:val="21"/>
              </w:rPr>
              <w:t>12.2 安全环保要求：</w:t>
            </w:r>
          </w:p>
          <w:p>
            <w:pPr>
              <w:adjustRightInd w:val="0"/>
              <w:snapToGrid w:val="0"/>
              <w:ind w:firstLine="420" w:firstLineChars="200"/>
              <w:jc w:val="left"/>
              <w:rPr>
                <w:rFonts w:ascii="宋体" w:hAnsi="宋体" w:cs="宋体"/>
                <w:color w:val="0000FF"/>
                <w:szCs w:val="21"/>
              </w:rPr>
            </w:pPr>
            <w:r>
              <w:rPr>
                <w:rFonts w:hint="eastAsia" w:ascii="宋体" w:hAnsi="宋体" w:cs="宋体"/>
                <w:color w:val="0000FF"/>
                <w:szCs w:val="21"/>
              </w:rPr>
              <w:t>12.2.1如果乙方在甲方区域发生安全生产工亡事故，甲方有权立即终止合同，乙方必须无条件执行本条款约定，同时乙方应支付违约金20万元。</w:t>
            </w:r>
          </w:p>
          <w:p>
            <w:pPr>
              <w:adjustRightInd w:val="0"/>
              <w:snapToGrid w:val="0"/>
              <w:ind w:firstLine="420" w:firstLineChars="200"/>
              <w:jc w:val="left"/>
              <w:rPr>
                <w:rFonts w:ascii="宋体" w:hAnsi="宋体" w:cs="宋体"/>
                <w:color w:val="0000FF"/>
                <w:szCs w:val="21"/>
              </w:rPr>
            </w:pPr>
            <w:r>
              <w:rPr>
                <w:rFonts w:hint="eastAsia" w:ascii="宋体" w:hAnsi="宋体" w:cs="宋体"/>
                <w:color w:val="0000FF"/>
                <w:szCs w:val="21"/>
              </w:rPr>
              <w:t>12.2.2乙方在甲方区域必须遵守甲方相关安全环保规定，对于拒不履行合同约定安全环保条款和甲方相关安全环保规定，或对甲方检查中发现安全违章行为拒不整改的供应商，甲方有权立即终止合同，乙方必须无条件执行本条款约定, 同时乙方应支付合同金额规定的违约金10%。</w:t>
            </w:r>
          </w:p>
          <w:p>
            <w:pPr>
              <w:adjustRightInd w:val="0"/>
              <w:snapToGrid w:val="0"/>
              <w:ind w:firstLine="422" w:firstLineChars="200"/>
              <w:jc w:val="left"/>
              <w:rPr>
                <w:rFonts w:ascii="宋体" w:hAnsi="宋体" w:cs="宋体"/>
                <w:b/>
                <w:szCs w:val="21"/>
              </w:rPr>
            </w:pPr>
            <w:r>
              <w:rPr>
                <w:rFonts w:hint="eastAsia" w:ascii="宋体" w:hAnsi="宋体" w:cs="宋体"/>
                <w:b/>
                <w:szCs w:val="21"/>
              </w:rPr>
              <w:t>第十三条 附则</w:t>
            </w:r>
          </w:p>
          <w:p>
            <w:pPr>
              <w:adjustRightInd w:val="0"/>
              <w:snapToGrid w:val="0"/>
              <w:ind w:firstLine="420" w:firstLineChars="200"/>
              <w:jc w:val="left"/>
              <w:rPr>
                <w:rFonts w:ascii="宋体" w:hAnsi="宋体" w:cs="宋体"/>
                <w:szCs w:val="21"/>
              </w:rPr>
            </w:pPr>
            <w:r>
              <w:rPr>
                <w:rFonts w:hint="eastAsia" w:ascii="宋体" w:hAnsi="宋体" w:cs="宋体"/>
                <w:szCs w:val="21"/>
              </w:rPr>
              <w:t>13.1合同未尽事宜双方可协商签订补充合同，补充合同和本合同具有同等的法律效力。</w:t>
            </w:r>
          </w:p>
          <w:p>
            <w:pPr>
              <w:tabs>
                <w:tab w:val="left" w:pos="720"/>
              </w:tabs>
              <w:adjustRightInd w:val="0"/>
              <w:snapToGrid w:val="0"/>
              <w:ind w:firstLine="420" w:firstLineChars="200"/>
              <w:rPr>
                <w:rFonts w:ascii="宋体" w:hAnsi="宋体" w:cs="宋体"/>
                <w:szCs w:val="21"/>
              </w:rPr>
            </w:pPr>
            <w:r>
              <w:rPr>
                <w:rFonts w:hint="eastAsia" w:ascii="宋体" w:hAnsi="宋体" w:cs="宋体"/>
                <w:szCs w:val="21"/>
              </w:rPr>
              <w:t>13.2</w:t>
            </w:r>
            <w:r>
              <w:rPr>
                <w:rFonts w:hint="eastAsia" w:ascii="宋体" w:hAnsi="宋体" w:cs="宋体"/>
                <w:color w:val="0000FF"/>
                <w:szCs w:val="21"/>
              </w:rPr>
              <w:t>合同附件是本合同组成部分。</w:t>
            </w:r>
          </w:p>
          <w:p>
            <w:pPr>
              <w:adjustRightInd w:val="0"/>
              <w:snapToGrid w:val="0"/>
              <w:ind w:firstLine="420" w:firstLineChars="200"/>
              <w:jc w:val="left"/>
              <w:rPr>
                <w:rFonts w:ascii="宋体" w:hAnsi="宋体" w:cs="宋体"/>
                <w:szCs w:val="21"/>
              </w:rPr>
            </w:pPr>
            <w:r>
              <w:rPr>
                <w:rFonts w:hint="eastAsia" w:ascii="宋体" w:hAnsi="宋体" w:cs="宋体"/>
                <w:szCs w:val="21"/>
              </w:rPr>
              <w:t>13.3本合同自双方签字、盖章之日起生效，本合同一式伍份，甲方肆份、乙方壹份，具有同样的法律效力。</w:t>
            </w:r>
          </w:p>
          <w:p>
            <w:pPr>
              <w:adjustRightInd w:val="0"/>
              <w:snapToGrid w:val="0"/>
              <w:ind w:firstLine="420" w:firstLineChars="200"/>
              <w:jc w:val="left"/>
              <w:rPr>
                <w:rFonts w:ascii="宋体" w:hAnsi="宋体" w:cs="宋体"/>
                <w:szCs w:val="21"/>
              </w:rPr>
            </w:pPr>
            <w:r>
              <w:rPr>
                <w:rFonts w:hint="eastAsia" w:ascii="宋体" w:hAnsi="宋体" w:cs="宋体"/>
                <w:szCs w:val="21"/>
              </w:rPr>
              <w:t>13.4本合同于河南省焦作市修武县七贤镇签署。</w:t>
            </w:r>
          </w:p>
          <w:p>
            <w:pPr>
              <w:adjustRightInd w:val="0"/>
              <w:snapToGrid w:val="0"/>
              <w:ind w:firstLine="420" w:firstLineChars="200"/>
              <w:jc w:val="left"/>
              <w:rPr>
                <w:rFonts w:ascii="宋体" w:hAnsi="宋体" w:cs="Tahoma"/>
                <w:b/>
                <w:bCs/>
                <w:kern w:val="0"/>
                <w:sz w:val="22"/>
                <w:szCs w:val="22"/>
              </w:rPr>
            </w:pPr>
            <w:r>
              <w:rPr>
                <w:rFonts w:hint="eastAsia" w:ascii="宋体" w:hAnsi="宋体" w:cs="宋体"/>
                <w:szCs w:val="21"/>
              </w:rPr>
              <w:t>（以下为签章页，无正文）</w:t>
            </w:r>
          </w:p>
        </w:tc>
      </w:tr>
    </w:tbl>
    <w:p>
      <w:pPr>
        <w:spacing w:line="440" w:lineRule="exact"/>
        <w:jc w:val="left"/>
        <w:rPr>
          <w:rFonts w:ascii="宋体" w:hAnsi="宋体"/>
          <w:b/>
          <w:bCs/>
          <w:sz w:val="32"/>
          <w:szCs w:val="32"/>
        </w:rPr>
      </w:pPr>
    </w:p>
    <w:p>
      <w:pPr>
        <w:rPr>
          <w:rFonts w:ascii="宋体" w:hAnsi="宋体"/>
          <w:sz w:val="32"/>
          <w:szCs w:val="32"/>
        </w:rPr>
      </w:pPr>
    </w:p>
    <w:p>
      <w:pPr>
        <w:rPr>
          <w:rFonts w:ascii="宋体" w:hAnsi="宋体"/>
          <w:sz w:val="32"/>
          <w:szCs w:val="32"/>
        </w:rPr>
      </w:pPr>
    </w:p>
    <w:sectPr>
      <w:pgSz w:w="11907" w:h="16840"/>
      <w:pgMar w:top="1418" w:right="1247" w:bottom="1134" w:left="1247" w:header="851" w:footer="851" w:gutter="0"/>
      <w:paperSrc w:first="7" w:other="7"/>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pPr>
      <w:r>
        <w:rPr>
          <w:rStyle w:val="28"/>
        </w:rPr>
        <w:footnoteRef/>
      </w:r>
      <w:r>
        <w:t xml:space="preserve"> </w:t>
      </w:r>
      <w:r>
        <w:rPr>
          <w:rFonts w:hint="eastAsia"/>
        </w:rPr>
        <w:t>根据中铝中州铝业有限公司要求的税率。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A4F1E"/>
    <w:multiLevelType w:val="multilevel"/>
    <w:tmpl w:val="309A4F1E"/>
    <w:lvl w:ilvl="0" w:tentative="0">
      <w:start w:val="1"/>
      <w:numFmt w:val="decimal"/>
      <w:pStyle w:val="44"/>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3"/>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pStyle w:val="5"/>
      <w:lvlText w:val="           "/>
      <w:lvlJc w:val="left"/>
      <w:pPr>
        <w:tabs>
          <w:tab w:val="left" w:pos="1440"/>
        </w:tabs>
        <w:ind w:left="1152" w:hanging="1152"/>
      </w:pPr>
      <w:rPr>
        <w:rFonts w:hint="eastAsia" w:cs="Times New Roman"/>
      </w:rPr>
    </w:lvl>
    <w:lvl w:ilvl="6" w:tentative="0">
      <w:start w:val="1"/>
      <w:numFmt w:val="decimal"/>
      <w:pStyle w:val="6"/>
      <w:lvlText w:val="%1.%2.%3.%4.%5.%6.%7"/>
      <w:lvlJc w:val="left"/>
      <w:pPr>
        <w:tabs>
          <w:tab w:val="left" w:pos="2520"/>
        </w:tabs>
        <w:ind w:left="1296" w:hanging="1296"/>
      </w:pPr>
      <w:rPr>
        <w:rFonts w:hint="eastAsia" w:cs="Times New Roman"/>
      </w:rPr>
    </w:lvl>
    <w:lvl w:ilvl="7" w:tentative="0">
      <w:start w:val="1"/>
      <w:numFmt w:val="decimal"/>
      <w:pStyle w:val="7"/>
      <w:lvlText w:val="%1.%2.%3.%4.%5.%6.%7.%8"/>
      <w:lvlJc w:val="left"/>
      <w:pPr>
        <w:tabs>
          <w:tab w:val="left" w:pos="1440"/>
        </w:tabs>
        <w:ind w:left="1440" w:hanging="1440"/>
      </w:pPr>
      <w:rPr>
        <w:rFonts w:hint="eastAsia" w:cs="Times New Roman"/>
      </w:rPr>
    </w:lvl>
    <w:lvl w:ilvl="8" w:tentative="0">
      <w:start w:val="1"/>
      <w:numFmt w:val="decimal"/>
      <w:pStyle w:val="8"/>
      <w:lvlText w:val="%1.%2.%3.%4.%5.%6.%7.%8.%9"/>
      <w:lvlJc w:val="left"/>
      <w:pPr>
        <w:tabs>
          <w:tab w:val="left" w:pos="1584"/>
        </w:tabs>
        <w:ind w:left="1584" w:hanging="1584"/>
      </w:pPr>
      <w:rPr>
        <w:rFonts w:hint="eastAsia" w:cs="Times New Roman"/>
      </w:rPr>
    </w:lvl>
  </w:abstractNum>
  <w:abstractNum w:abstractNumId="2">
    <w:nsid w:val="663B4382"/>
    <w:multiLevelType w:val="multilevel"/>
    <w:tmpl w:val="663B4382"/>
    <w:lvl w:ilvl="0" w:tentative="0">
      <w:start w:val="1"/>
      <w:numFmt w:val="decimal"/>
      <w:pStyle w:val="41"/>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
      <w:lvlText w:val="3.%3"/>
      <w:lvlJc w:val="left"/>
      <w:pPr>
        <w:tabs>
          <w:tab w:val="left" w:pos="0"/>
        </w:tabs>
        <w:ind w:left="454" w:hanging="454"/>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decimal"/>
      <w:lvlText w:val="%5）"/>
      <w:lvlJc w:val="left"/>
      <w:pPr>
        <w:tabs>
          <w:tab w:val="left" w:pos="2400"/>
        </w:tabs>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51"/>
    <w:rsid w:val="0000255D"/>
    <w:rsid w:val="000031E1"/>
    <w:rsid w:val="00005937"/>
    <w:rsid w:val="000075EF"/>
    <w:rsid w:val="0001064E"/>
    <w:rsid w:val="0001523D"/>
    <w:rsid w:val="0001529B"/>
    <w:rsid w:val="00016339"/>
    <w:rsid w:val="000174E4"/>
    <w:rsid w:val="00020102"/>
    <w:rsid w:val="000240CD"/>
    <w:rsid w:val="00024AB0"/>
    <w:rsid w:val="00026BB5"/>
    <w:rsid w:val="0003263F"/>
    <w:rsid w:val="00034D73"/>
    <w:rsid w:val="0004189B"/>
    <w:rsid w:val="0004621B"/>
    <w:rsid w:val="000524D3"/>
    <w:rsid w:val="000537D6"/>
    <w:rsid w:val="000545B0"/>
    <w:rsid w:val="00054C5C"/>
    <w:rsid w:val="00056977"/>
    <w:rsid w:val="00063FA3"/>
    <w:rsid w:val="00065229"/>
    <w:rsid w:val="000664B4"/>
    <w:rsid w:val="00066999"/>
    <w:rsid w:val="00067C38"/>
    <w:rsid w:val="0007108E"/>
    <w:rsid w:val="00076280"/>
    <w:rsid w:val="00083151"/>
    <w:rsid w:val="00085EFB"/>
    <w:rsid w:val="000869DD"/>
    <w:rsid w:val="00086F64"/>
    <w:rsid w:val="00090C39"/>
    <w:rsid w:val="00094A9E"/>
    <w:rsid w:val="00094F47"/>
    <w:rsid w:val="0009681D"/>
    <w:rsid w:val="000A3840"/>
    <w:rsid w:val="000A3EDE"/>
    <w:rsid w:val="000A5591"/>
    <w:rsid w:val="000B1468"/>
    <w:rsid w:val="000B2F29"/>
    <w:rsid w:val="000B6747"/>
    <w:rsid w:val="000B6E89"/>
    <w:rsid w:val="000B7009"/>
    <w:rsid w:val="000C23F7"/>
    <w:rsid w:val="000C6776"/>
    <w:rsid w:val="000D3325"/>
    <w:rsid w:val="000D53D7"/>
    <w:rsid w:val="000D7DBE"/>
    <w:rsid w:val="000E28D9"/>
    <w:rsid w:val="000E6A51"/>
    <w:rsid w:val="00100BF0"/>
    <w:rsid w:val="00101D39"/>
    <w:rsid w:val="001022C1"/>
    <w:rsid w:val="001039A4"/>
    <w:rsid w:val="001108ED"/>
    <w:rsid w:val="00111AB6"/>
    <w:rsid w:val="001137BC"/>
    <w:rsid w:val="00113C1A"/>
    <w:rsid w:val="00113E18"/>
    <w:rsid w:val="00115012"/>
    <w:rsid w:val="00115CB0"/>
    <w:rsid w:val="00120FD2"/>
    <w:rsid w:val="00124B51"/>
    <w:rsid w:val="001313C4"/>
    <w:rsid w:val="00133331"/>
    <w:rsid w:val="001353D5"/>
    <w:rsid w:val="001366D9"/>
    <w:rsid w:val="00141D58"/>
    <w:rsid w:val="00142400"/>
    <w:rsid w:val="001445C3"/>
    <w:rsid w:val="0014670A"/>
    <w:rsid w:val="001505A9"/>
    <w:rsid w:val="00155400"/>
    <w:rsid w:val="00160E20"/>
    <w:rsid w:val="00164576"/>
    <w:rsid w:val="00173F90"/>
    <w:rsid w:val="0018055A"/>
    <w:rsid w:val="00191D6D"/>
    <w:rsid w:val="001A1F75"/>
    <w:rsid w:val="001A446C"/>
    <w:rsid w:val="001B20B4"/>
    <w:rsid w:val="001B438E"/>
    <w:rsid w:val="001B6674"/>
    <w:rsid w:val="001B6BF6"/>
    <w:rsid w:val="001B75D6"/>
    <w:rsid w:val="001B7DF1"/>
    <w:rsid w:val="001C34B1"/>
    <w:rsid w:val="001C4D99"/>
    <w:rsid w:val="001C5D90"/>
    <w:rsid w:val="001C5EE4"/>
    <w:rsid w:val="001C67CB"/>
    <w:rsid w:val="001D2803"/>
    <w:rsid w:val="001E32E9"/>
    <w:rsid w:val="001E74E1"/>
    <w:rsid w:val="001F578A"/>
    <w:rsid w:val="001F7C1C"/>
    <w:rsid w:val="0020310C"/>
    <w:rsid w:val="00204598"/>
    <w:rsid w:val="00206888"/>
    <w:rsid w:val="002069D5"/>
    <w:rsid w:val="0021134D"/>
    <w:rsid w:val="002128D7"/>
    <w:rsid w:val="00217826"/>
    <w:rsid w:val="00222438"/>
    <w:rsid w:val="0022400B"/>
    <w:rsid w:val="00226AB5"/>
    <w:rsid w:val="00230237"/>
    <w:rsid w:val="002302F8"/>
    <w:rsid w:val="002316E7"/>
    <w:rsid w:val="0023334F"/>
    <w:rsid w:val="0023520E"/>
    <w:rsid w:val="0023627E"/>
    <w:rsid w:val="002408DA"/>
    <w:rsid w:val="002433C9"/>
    <w:rsid w:val="00244DA7"/>
    <w:rsid w:val="00246814"/>
    <w:rsid w:val="00253F37"/>
    <w:rsid w:val="002544A4"/>
    <w:rsid w:val="00255259"/>
    <w:rsid w:val="00260C97"/>
    <w:rsid w:val="00262C83"/>
    <w:rsid w:val="00267CAA"/>
    <w:rsid w:val="002704B3"/>
    <w:rsid w:val="00272396"/>
    <w:rsid w:val="002732E2"/>
    <w:rsid w:val="00273774"/>
    <w:rsid w:val="002745F6"/>
    <w:rsid w:val="00277337"/>
    <w:rsid w:val="00280186"/>
    <w:rsid w:val="00280332"/>
    <w:rsid w:val="00287853"/>
    <w:rsid w:val="00290C68"/>
    <w:rsid w:val="0029132A"/>
    <w:rsid w:val="002962B4"/>
    <w:rsid w:val="002A0D41"/>
    <w:rsid w:val="002A221F"/>
    <w:rsid w:val="002A3BAB"/>
    <w:rsid w:val="002A406C"/>
    <w:rsid w:val="002B1425"/>
    <w:rsid w:val="002B29DA"/>
    <w:rsid w:val="002B4A86"/>
    <w:rsid w:val="002B5567"/>
    <w:rsid w:val="002B767B"/>
    <w:rsid w:val="002C11DC"/>
    <w:rsid w:val="002C5A2A"/>
    <w:rsid w:val="002C6B03"/>
    <w:rsid w:val="002D0E15"/>
    <w:rsid w:val="002D79BF"/>
    <w:rsid w:val="002E0B2B"/>
    <w:rsid w:val="002E3716"/>
    <w:rsid w:val="002F7801"/>
    <w:rsid w:val="00301D1F"/>
    <w:rsid w:val="003030F3"/>
    <w:rsid w:val="003104B5"/>
    <w:rsid w:val="00317995"/>
    <w:rsid w:val="0032479B"/>
    <w:rsid w:val="00326DC1"/>
    <w:rsid w:val="0032790D"/>
    <w:rsid w:val="00333F20"/>
    <w:rsid w:val="003361C1"/>
    <w:rsid w:val="0034035A"/>
    <w:rsid w:val="00342598"/>
    <w:rsid w:val="00342EA4"/>
    <w:rsid w:val="003439C7"/>
    <w:rsid w:val="00343B4E"/>
    <w:rsid w:val="00346BB9"/>
    <w:rsid w:val="00356963"/>
    <w:rsid w:val="00363D76"/>
    <w:rsid w:val="00366BF3"/>
    <w:rsid w:val="00373CB3"/>
    <w:rsid w:val="003743BB"/>
    <w:rsid w:val="003813F7"/>
    <w:rsid w:val="00381460"/>
    <w:rsid w:val="003814F1"/>
    <w:rsid w:val="00381E74"/>
    <w:rsid w:val="00382A63"/>
    <w:rsid w:val="00382C0A"/>
    <w:rsid w:val="00387252"/>
    <w:rsid w:val="00387FF9"/>
    <w:rsid w:val="00390C1D"/>
    <w:rsid w:val="00391B20"/>
    <w:rsid w:val="00394061"/>
    <w:rsid w:val="0039523A"/>
    <w:rsid w:val="00396E7A"/>
    <w:rsid w:val="003B4608"/>
    <w:rsid w:val="003B622D"/>
    <w:rsid w:val="003C058F"/>
    <w:rsid w:val="003C0D97"/>
    <w:rsid w:val="003C26E4"/>
    <w:rsid w:val="003C531D"/>
    <w:rsid w:val="003C7E3D"/>
    <w:rsid w:val="003D1825"/>
    <w:rsid w:val="003D1A43"/>
    <w:rsid w:val="003D420F"/>
    <w:rsid w:val="003E12BE"/>
    <w:rsid w:val="003E407F"/>
    <w:rsid w:val="003E56AD"/>
    <w:rsid w:val="003E5C52"/>
    <w:rsid w:val="003E7511"/>
    <w:rsid w:val="003F014B"/>
    <w:rsid w:val="003F210C"/>
    <w:rsid w:val="003F2314"/>
    <w:rsid w:val="003F4032"/>
    <w:rsid w:val="003F4705"/>
    <w:rsid w:val="003F47E7"/>
    <w:rsid w:val="003F65BA"/>
    <w:rsid w:val="003F7260"/>
    <w:rsid w:val="00403444"/>
    <w:rsid w:val="00404BC4"/>
    <w:rsid w:val="004105EE"/>
    <w:rsid w:val="004113BE"/>
    <w:rsid w:val="00415612"/>
    <w:rsid w:val="00417A8B"/>
    <w:rsid w:val="00427534"/>
    <w:rsid w:val="00427668"/>
    <w:rsid w:val="00430C3C"/>
    <w:rsid w:val="00434361"/>
    <w:rsid w:val="00435755"/>
    <w:rsid w:val="00436C7C"/>
    <w:rsid w:val="00436CA0"/>
    <w:rsid w:val="00441FE6"/>
    <w:rsid w:val="00442058"/>
    <w:rsid w:val="0044213B"/>
    <w:rsid w:val="00445B8C"/>
    <w:rsid w:val="0044788E"/>
    <w:rsid w:val="004509D5"/>
    <w:rsid w:val="0045144B"/>
    <w:rsid w:val="00466B5D"/>
    <w:rsid w:val="004728FE"/>
    <w:rsid w:val="0047786E"/>
    <w:rsid w:val="00480392"/>
    <w:rsid w:val="00482318"/>
    <w:rsid w:val="004878C1"/>
    <w:rsid w:val="00491BF4"/>
    <w:rsid w:val="0049616F"/>
    <w:rsid w:val="004A44E4"/>
    <w:rsid w:val="004A4793"/>
    <w:rsid w:val="004A4A1E"/>
    <w:rsid w:val="004A4FEA"/>
    <w:rsid w:val="004A7227"/>
    <w:rsid w:val="004B214E"/>
    <w:rsid w:val="004B3C4D"/>
    <w:rsid w:val="004B53A6"/>
    <w:rsid w:val="004B6A9E"/>
    <w:rsid w:val="004B6C20"/>
    <w:rsid w:val="004B79CD"/>
    <w:rsid w:val="004C4D5D"/>
    <w:rsid w:val="004C7282"/>
    <w:rsid w:val="004D0465"/>
    <w:rsid w:val="004D1884"/>
    <w:rsid w:val="004E1B70"/>
    <w:rsid w:val="004E27D8"/>
    <w:rsid w:val="004E2872"/>
    <w:rsid w:val="004E3B3A"/>
    <w:rsid w:val="004E3E74"/>
    <w:rsid w:val="004E6AE3"/>
    <w:rsid w:val="004E7B8B"/>
    <w:rsid w:val="004F283A"/>
    <w:rsid w:val="004F5DA7"/>
    <w:rsid w:val="0050023E"/>
    <w:rsid w:val="00502D3C"/>
    <w:rsid w:val="00510D46"/>
    <w:rsid w:val="0051179C"/>
    <w:rsid w:val="00512329"/>
    <w:rsid w:val="00513B52"/>
    <w:rsid w:val="00516F26"/>
    <w:rsid w:val="0051766B"/>
    <w:rsid w:val="005243E3"/>
    <w:rsid w:val="005302E3"/>
    <w:rsid w:val="00541B71"/>
    <w:rsid w:val="00556994"/>
    <w:rsid w:val="00562068"/>
    <w:rsid w:val="00562F93"/>
    <w:rsid w:val="005635D9"/>
    <w:rsid w:val="00564C11"/>
    <w:rsid w:val="00565B53"/>
    <w:rsid w:val="00571755"/>
    <w:rsid w:val="00573821"/>
    <w:rsid w:val="00586CE7"/>
    <w:rsid w:val="0059129C"/>
    <w:rsid w:val="00593982"/>
    <w:rsid w:val="00595CE1"/>
    <w:rsid w:val="005A178E"/>
    <w:rsid w:val="005A4FA5"/>
    <w:rsid w:val="005A5FAF"/>
    <w:rsid w:val="005A621F"/>
    <w:rsid w:val="005B19CA"/>
    <w:rsid w:val="005B2D81"/>
    <w:rsid w:val="005B3E9C"/>
    <w:rsid w:val="005B7878"/>
    <w:rsid w:val="005B7FBD"/>
    <w:rsid w:val="005C04EC"/>
    <w:rsid w:val="005C5DD6"/>
    <w:rsid w:val="005D011A"/>
    <w:rsid w:val="005D331C"/>
    <w:rsid w:val="005E18ED"/>
    <w:rsid w:val="005E60D6"/>
    <w:rsid w:val="005F78E9"/>
    <w:rsid w:val="006021C0"/>
    <w:rsid w:val="00612331"/>
    <w:rsid w:val="006148A6"/>
    <w:rsid w:val="00621BF0"/>
    <w:rsid w:val="0062252A"/>
    <w:rsid w:val="00630FF7"/>
    <w:rsid w:val="00631421"/>
    <w:rsid w:val="00633B9D"/>
    <w:rsid w:val="00635FD3"/>
    <w:rsid w:val="0064032A"/>
    <w:rsid w:val="0064340A"/>
    <w:rsid w:val="00643846"/>
    <w:rsid w:val="00645714"/>
    <w:rsid w:val="006467D1"/>
    <w:rsid w:val="00652652"/>
    <w:rsid w:val="00665E0A"/>
    <w:rsid w:val="006679C8"/>
    <w:rsid w:val="00667F34"/>
    <w:rsid w:val="00670A2B"/>
    <w:rsid w:val="00671627"/>
    <w:rsid w:val="006808CA"/>
    <w:rsid w:val="00681636"/>
    <w:rsid w:val="006847A0"/>
    <w:rsid w:val="0069110F"/>
    <w:rsid w:val="00696BE7"/>
    <w:rsid w:val="006A0801"/>
    <w:rsid w:val="006A27F1"/>
    <w:rsid w:val="006A4F1B"/>
    <w:rsid w:val="006A5407"/>
    <w:rsid w:val="006A6A0C"/>
    <w:rsid w:val="006B0EA0"/>
    <w:rsid w:val="006B1BAA"/>
    <w:rsid w:val="006B3487"/>
    <w:rsid w:val="006B645C"/>
    <w:rsid w:val="006C42CE"/>
    <w:rsid w:val="006C45F9"/>
    <w:rsid w:val="006C5CCC"/>
    <w:rsid w:val="006C6B82"/>
    <w:rsid w:val="006D05FC"/>
    <w:rsid w:val="006D4914"/>
    <w:rsid w:val="006D6EC1"/>
    <w:rsid w:val="006E2020"/>
    <w:rsid w:val="006E5BBD"/>
    <w:rsid w:val="006F1479"/>
    <w:rsid w:val="006F478D"/>
    <w:rsid w:val="006F5135"/>
    <w:rsid w:val="00702283"/>
    <w:rsid w:val="00704EBE"/>
    <w:rsid w:val="00710AFB"/>
    <w:rsid w:val="00714D28"/>
    <w:rsid w:val="00721511"/>
    <w:rsid w:val="007238FE"/>
    <w:rsid w:val="00723FFF"/>
    <w:rsid w:val="00724EB2"/>
    <w:rsid w:val="0073257A"/>
    <w:rsid w:val="007330D6"/>
    <w:rsid w:val="007338BB"/>
    <w:rsid w:val="007363E7"/>
    <w:rsid w:val="00737933"/>
    <w:rsid w:val="00737F6B"/>
    <w:rsid w:val="00741087"/>
    <w:rsid w:val="007443F2"/>
    <w:rsid w:val="00744C99"/>
    <w:rsid w:val="00744EA4"/>
    <w:rsid w:val="00746CDB"/>
    <w:rsid w:val="0075657D"/>
    <w:rsid w:val="00757432"/>
    <w:rsid w:val="007575D9"/>
    <w:rsid w:val="00757610"/>
    <w:rsid w:val="00760A6D"/>
    <w:rsid w:val="00760BF6"/>
    <w:rsid w:val="00760FA6"/>
    <w:rsid w:val="007628B5"/>
    <w:rsid w:val="00763213"/>
    <w:rsid w:val="007646B0"/>
    <w:rsid w:val="00765CD3"/>
    <w:rsid w:val="00766151"/>
    <w:rsid w:val="00771E80"/>
    <w:rsid w:val="00772B4B"/>
    <w:rsid w:val="00772B74"/>
    <w:rsid w:val="0077390B"/>
    <w:rsid w:val="00774644"/>
    <w:rsid w:val="007770E9"/>
    <w:rsid w:val="00780D58"/>
    <w:rsid w:val="00782318"/>
    <w:rsid w:val="007827A8"/>
    <w:rsid w:val="00785042"/>
    <w:rsid w:val="007878A2"/>
    <w:rsid w:val="0079388E"/>
    <w:rsid w:val="00794B75"/>
    <w:rsid w:val="0079505F"/>
    <w:rsid w:val="007954A6"/>
    <w:rsid w:val="007A06C8"/>
    <w:rsid w:val="007A1230"/>
    <w:rsid w:val="007A396D"/>
    <w:rsid w:val="007A6109"/>
    <w:rsid w:val="007A6386"/>
    <w:rsid w:val="007A76D4"/>
    <w:rsid w:val="007B6386"/>
    <w:rsid w:val="007B7825"/>
    <w:rsid w:val="007C10A2"/>
    <w:rsid w:val="007C3B05"/>
    <w:rsid w:val="007C5B64"/>
    <w:rsid w:val="007C6F6C"/>
    <w:rsid w:val="007C7770"/>
    <w:rsid w:val="007D2EEA"/>
    <w:rsid w:val="007D4DC4"/>
    <w:rsid w:val="007D63EE"/>
    <w:rsid w:val="007D7441"/>
    <w:rsid w:val="007E1045"/>
    <w:rsid w:val="007E422A"/>
    <w:rsid w:val="007E5EFC"/>
    <w:rsid w:val="007E7345"/>
    <w:rsid w:val="007F39BA"/>
    <w:rsid w:val="008012FA"/>
    <w:rsid w:val="00806B39"/>
    <w:rsid w:val="00807F98"/>
    <w:rsid w:val="00814BAC"/>
    <w:rsid w:val="008201D5"/>
    <w:rsid w:val="008230A5"/>
    <w:rsid w:val="0083122B"/>
    <w:rsid w:val="00832DB8"/>
    <w:rsid w:val="00833A5C"/>
    <w:rsid w:val="00834A72"/>
    <w:rsid w:val="008357EA"/>
    <w:rsid w:val="00840AC8"/>
    <w:rsid w:val="00842B5C"/>
    <w:rsid w:val="00843B78"/>
    <w:rsid w:val="00844079"/>
    <w:rsid w:val="008464FB"/>
    <w:rsid w:val="00855391"/>
    <w:rsid w:val="00857932"/>
    <w:rsid w:val="008608CA"/>
    <w:rsid w:val="008658EE"/>
    <w:rsid w:val="00872B37"/>
    <w:rsid w:val="00873BE5"/>
    <w:rsid w:val="00876E38"/>
    <w:rsid w:val="00880643"/>
    <w:rsid w:val="00885AE0"/>
    <w:rsid w:val="00893970"/>
    <w:rsid w:val="00894FF9"/>
    <w:rsid w:val="00896FFA"/>
    <w:rsid w:val="008A2EE2"/>
    <w:rsid w:val="008A36D8"/>
    <w:rsid w:val="008A3B79"/>
    <w:rsid w:val="008B0BCD"/>
    <w:rsid w:val="008B1B13"/>
    <w:rsid w:val="008B1FFC"/>
    <w:rsid w:val="008B3252"/>
    <w:rsid w:val="008B4864"/>
    <w:rsid w:val="008C5B71"/>
    <w:rsid w:val="008C615B"/>
    <w:rsid w:val="008D07E8"/>
    <w:rsid w:val="008D07FB"/>
    <w:rsid w:val="008D1ABC"/>
    <w:rsid w:val="008D7361"/>
    <w:rsid w:val="008E29FF"/>
    <w:rsid w:val="008F0748"/>
    <w:rsid w:val="008F44AE"/>
    <w:rsid w:val="00900957"/>
    <w:rsid w:val="00902886"/>
    <w:rsid w:val="00904569"/>
    <w:rsid w:val="009110C7"/>
    <w:rsid w:val="009146E2"/>
    <w:rsid w:val="00914F15"/>
    <w:rsid w:val="00915A37"/>
    <w:rsid w:val="00915F28"/>
    <w:rsid w:val="0093077A"/>
    <w:rsid w:val="009409D5"/>
    <w:rsid w:val="00941033"/>
    <w:rsid w:val="009443E9"/>
    <w:rsid w:val="009508B7"/>
    <w:rsid w:val="00953069"/>
    <w:rsid w:val="009551AB"/>
    <w:rsid w:val="009565FF"/>
    <w:rsid w:val="009569B0"/>
    <w:rsid w:val="00957C04"/>
    <w:rsid w:val="00980896"/>
    <w:rsid w:val="0098107D"/>
    <w:rsid w:val="00984DEC"/>
    <w:rsid w:val="0098724E"/>
    <w:rsid w:val="00987653"/>
    <w:rsid w:val="00987CDE"/>
    <w:rsid w:val="00990697"/>
    <w:rsid w:val="009925AE"/>
    <w:rsid w:val="009A22BA"/>
    <w:rsid w:val="009A5F28"/>
    <w:rsid w:val="009B4516"/>
    <w:rsid w:val="009B64D8"/>
    <w:rsid w:val="009B6C6E"/>
    <w:rsid w:val="009C0FA5"/>
    <w:rsid w:val="009C24D1"/>
    <w:rsid w:val="009C40F8"/>
    <w:rsid w:val="009C688E"/>
    <w:rsid w:val="009C70FE"/>
    <w:rsid w:val="009D40FA"/>
    <w:rsid w:val="009E0751"/>
    <w:rsid w:val="009E3D90"/>
    <w:rsid w:val="009E3E11"/>
    <w:rsid w:val="009F5E1A"/>
    <w:rsid w:val="009F64A8"/>
    <w:rsid w:val="00A001FF"/>
    <w:rsid w:val="00A02700"/>
    <w:rsid w:val="00A03711"/>
    <w:rsid w:val="00A06964"/>
    <w:rsid w:val="00A12BA7"/>
    <w:rsid w:val="00A16D51"/>
    <w:rsid w:val="00A16F0A"/>
    <w:rsid w:val="00A17B9E"/>
    <w:rsid w:val="00A214A2"/>
    <w:rsid w:val="00A21C46"/>
    <w:rsid w:val="00A27473"/>
    <w:rsid w:val="00A27F6B"/>
    <w:rsid w:val="00A30CB1"/>
    <w:rsid w:val="00A37B26"/>
    <w:rsid w:val="00A44E54"/>
    <w:rsid w:val="00A47D81"/>
    <w:rsid w:val="00A558A3"/>
    <w:rsid w:val="00A62895"/>
    <w:rsid w:val="00A6354C"/>
    <w:rsid w:val="00A636D8"/>
    <w:rsid w:val="00A65430"/>
    <w:rsid w:val="00A7423D"/>
    <w:rsid w:val="00A752BB"/>
    <w:rsid w:val="00A81570"/>
    <w:rsid w:val="00A8295F"/>
    <w:rsid w:val="00A85D11"/>
    <w:rsid w:val="00A86079"/>
    <w:rsid w:val="00AA19D5"/>
    <w:rsid w:val="00AA50B5"/>
    <w:rsid w:val="00AA59B6"/>
    <w:rsid w:val="00AA661D"/>
    <w:rsid w:val="00AB6ED3"/>
    <w:rsid w:val="00AC0DDB"/>
    <w:rsid w:val="00AC1043"/>
    <w:rsid w:val="00AC1672"/>
    <w:rsid w:val="00AC3819"/>
    <w:rsid w:val="00AC61B4"/>
    <w:rsid w:val="00AD2066"/>
    <w:rsid w:val="00AD33AF"/>
    <w:rsid w:val="00AD3BAB"/>
    <w:rsid w:val="00AD6DF9"/>
    <w:rsid w:val="00AE337E"/>
    <w:rsid w:val="00AE4D9E"/>
    <w:rsid w:val="00AE7F8A"/>
    <w:rsid w:val="00AF2457"/>
    <w:rsid w:val="00AF2BFE"/>
    <w:rsid w:val="00AF3E9F"/>
    <w:rsid w:val="00B01F0B"/>
    <w:rsid w:val="00B034F9"/>
    <w:rsid w:val="00B05436"/>
    <w:rsid w:val="00B1428F"/>
    <w:rsid w:val="00B1615F"/>
    <w:rsid w:val="00B21B60"/>
    <w:rsid w:val="00B234AC"/>
    <w:rsid w:val="00B32E6C"/>
    <w:rsid w:val="00B34D62"/>
    <w:rsid w:val="00B36EDF"/>
    <w:rsid w:val="00B457DB"/>
    <w:rsid w:val="00B508CC"/>
    <w:rsid w:val="00B543DA"/>
    <w:rsid w:val="00B61A21"/>
    <w:rsid w:val="00B624D1"/>
    <w:rsid w:val="00B633E2"/>
    <w:rsid w:val="00B7452A"/>
    <w:rsid w:val="00B82C2C"/>
    <w:rsid w:val="00B87CE3"/>
    <w:rsid w:val="00B927F9"/>
    <w:rsid w:val="00B93309"/>
    <w:rsid w:val="00B96295"/>
    <w:rsid w:val="00B96880"/>
    <w:rsid w:val="00BA1A20"/>
    <w:rsid w:val="00BA3F2C"/>
    <w:rsid w:val="00BA7D91"/>
    <w:rsid w:val="00BB52E5"/>
    <w:rsid w:val="00BB5ABC"/>
    <w:rsid w:val="00BB617C"/>
    <w:rsid w:val="00BC377F"/>
    <w:rsid w:val="00BC5F59"/>
    <w:rsid w:val="00BD3689"/>
    <w:rsid w:val="00BD4EE1"/>
    <w:rsid w:val="00BD5AEA"/>
    <w:rsid w:val="00BD713E"/>
    <w:rsid w:val="00BD7E11"/>
    <w:rsid w:val="00BE038B"/>
    <w:rsid w:val="00BE4211"/>
    <w:rsid w:val="00BF27E2"/>
    <w:rsid w:val="00BF4013"/>
    <w:rsid w:val="00BF7318"/>
    <w:rsid w:val="00BF73A4"/>
    <w:rsid w:val="00C04C2F"/>
    <w:rsid w:val="00C069F1"/>
    <w:rsid w:val="00C10212"/>
    <w:rsid w:val="00C10ACC"/>
    <w:rsid w:val="00C141C6"/>
    <w:rsid w:val="00C16A5D"/>
    <w:rsid w:val="00C21EEC"/>
    <w:rsid w:val="00C22220"/>
    <w:rsid w:val="00C22409"/>
    <w:rsid w:val="00C25C60"/>
    <w:rsid w:val="00C3192B"/>
    <w:rsid w:val="00C31C90"/>
    <w:rsid w:val="00C34309"/>
    <w:rsid w:val="00C355F5"/>
    <w:rsid w:val="00C36B97"/>
    <w:rsid w:val="00C40415"/>
    <w:rsid w:val="00C40642"/>
    <w:rsid w:val="00C452A0"/>
    <w:rsid w:val="00C47F8C"/>
    <w:rsid w:val="00C51621"/>
    <w:rsid w:val="00C55A37"/>
    <w:rsid w:val="00C57609"/>
    <w:rsid w:val="00C61ACD"/>
    <w:rsid w:val="00C648CC"/>
    <w:rsid w:val="00C662FE"/>
    <w:rsid w:val="00C71706"/>
    <w:rsid w:val="00C71C45"/>
    <w:rsid w:val="00C75D48"/>
    <w:rsid w:val="00C76650"/>
    <w:rsid w:val="00C77CB7"/>
    <w:rsid w:val="00C843F6"/>
    <w:rsid w:val="00C84DBA"/>
    <w:rsid w:val="00C902A7"/>
    <w:rsid w:val="00C96C75"/>
    <w:rsid w:val="00C97DC4"/>
    <w:rsid w:val="00CA0AA8"/>
    <w:rsid w:val="00CA407E"/>
    <w:rsid w:val="00CB0F83"/>
    <w:rsid w:val="00CB1469"/>
    <w:rsid w:val="00CB5728"/>
    <w:rsid w:val="00CB5C27"/>
    <w:rsid w:val="00CB7A68"/>
    <w:rsid w:val="00CC0C56"/>
    <w:rsid w:val="00CC1975"/>
    <w:rsid w:val="00CC1993"/>
    <w:rsid w:val="00CC4FDC"/>
    <w:rsid w:val="00CC5504"/>
    <w:rsid w:val="00CC5BCA"/>
    <w:rsid w:val="00CC6C39"/>
    <w:rsid w:val="00CC7087"/>
    <w:rsid w:val="00CD0BEA"/>
    <w:rsid w:val="00CE1632"/>
    <w:rsid w:val="00CE608F"/>
    <w:rsid w:val="00CE7B2C"/>
    <w:rsid w:val="00CE7FFB"/>
    <w:rsid w:val="00CF2590"/>
    <w:rsid w:val="00CF4EEA"/>
    <w:rsid w:val="00CF56F3"/>
    <w:rsid w:val="00CF7518"/>
    <w:rsid w:val="00CF7B94"/>
    <w:rsid w:val="00D014FB"/>
    <w:rsid w:val="00D02852"/>
    <w:rsid w:val="00D05237"/>
    <w:rsid w:val="00D14E3A"/>
    <w:rsid w:val="00D1638D"/>
    <w:rsid w:val="00D1719C"/>
    <w:rsid w:val="00D179C3"/>
    <w:rsid w:val="00D20FC2"/>
    <w:rsid w:val="00D20FD6"/>
    <w:rsid w:val="00D2174B"/>
    <w:rsid w:val="00D252D0"/>
    <w:rsid w:val="00D32799"/>
    <w:rsid w:val="00D33DA6"/>
    <w:rsid w:val="00D36CEE"/>
    <w:rsid w:val="00D40BA4"/>
    <w:rsid w:val="00D429A8"/>
    <w:rsid w:val="00D4351A"/>
    <w:rsid w:val="00D43C3D"/>
    <w:rsid w:val="00D44D88"/>
    <w:rsid w:val="00D5311A"/>
    <w:rsid w:val="00D5416B"/>
    <w:rsid w:val="00D5595E"/>
    <w:rsid w:val="00D55CB2"/>
    <w:rsid w:val="00D568F4"/>
    <w:rsid w:val="00D673EF"/>
    <w:rsid w:val="00D74BB3"/>
    <w:rsid w:val="00D82A7C"/>
    <w:rsid w:val="00D8327B"/>
    <w:rsid w:val="00D84756"/>
    <w:rsid w:val="00D86B7F"/>
    <w:rsid w:val="00D9112A"/>
    <w:rsid w:val="00D9368B"/>
    <w:rsid w:val="00D96A9C"/>
    <w:rsid w:val="00DA5BFB"/>
    <w:rsid w:val="00DA6DBE"/>
    <w:rsid w:val="00DB08C0"/>
    <w:rsid w:val="00DB4C66"/>
    <w:rsid w:val="00DB565E"/>
    <w:rsid w:val="00DB6605"/>
    <w:rsid w:val="00DB7FD3"/>
    <w:rsid w:val="00DC4997"/>
    <w:rsid w:val="00DD0F71"/>
    <w:rsid w:val="00DD1366"/>
    <w:rsid w:val="00DD16C1"/>
    <w:rsid w:val="00DD4B00"/>
    <w:rsid w:val="00DE0A3A"/>
    <w:rsid w:val="00DE2315"/>
    <w:rsid w:val="00DE2979"/>
    <w:rsid w:val="00DE5D39"/>
    <w:rsid w:val="00DF220B"/>
    <w:rsid w:val="00DF43B0"/>
    <w:rsid w:val="00E023C6"/>
    <w:rsid w:val="00E0256E"/>
    <w:rsid w:val="00E15772"/>
    <w:rsid w:val="00E17321"/>
    <w:rsid w:val="00E2170C"/>
    <w:rsid w:val="00E22D13"/>
    <w:rsid w:val="00E2343B"/>
    <w:rsid w:val="00E372CB"/>
    <w:rsid w:val="00E37C1B"/>
    <w:rsid w:val="00E43CBF"/>
    <w:rsid w:val="00E43E2E"/>
    <w:rsid w:val="00E46FA9"/>
    <w:rsid w:val="00E477F0"/>
    <w:rsid w:val="00E479CE"/>
    <w:rsid w:val="00E47C94"/>
    <w:rsid w:val="00E5062E"/>
    <w:rsid w:val="00E614CC"/>
    <w:rsid w:val="00E617A3"/>
    <w:rsid w:val="00E61E1B"/>
    <w:rsid w:val="00E62394"/>
    <w:rsid w:val="00E62789"/>
    <w:rsid w:val="00E64F7F"/>
    <w:rsid w:val="00E719CC"/>
    <w:rsid w:val="00E71B24"/>
    <w:rsid w:val="00E72E5C"/>
    <w:rsid w:val="00E74D1A"/>
    <w:rsid w:val="00E76298"/>
    <w:rsid w:val="00E76E58"/>
    <w:rsid w:val="00E77FF7"/>
    <w:rsid w:val="00E8186C"/>
    <w:rsid w:val="00E87B9F"/>
    <w:rsid w:val="00E91000"/>
    <w:rsid w:val="00E91E0B"/>
    <w:rsid w:val="00E9353B"/>
    <w:rsid w:val="00E96B01"/>
    <w:rsid w:val="00EA14CB"/>
    <w:rsid w:val="00EA43F9"/>
    <w:rsid w:val="00EA5025"/>
    <w:rsid w:val="00EA6AFB"/>
    <w:rsid w:val="00EB5457"/>
    <w:rsid w:val="00EB5683"/>
    <w:rsid w:val="00EB5DA5"/>
    <w:rsid w:val="00EB6129"/>
    <w:rsid w:val="00EB65FE"/>
    <w:rsid w:val="00EB6D05"/>
    <w:rsid w:val="00EC09EC"/>
    <w:rsid w:val="00EC7B6D"/>
    <w:rsid w:val="00ED4293"/>
    <w:rsid w:val="00EE2615"/>
    <w:rsid w:val="00EE42DD"/>
    <w:rsid w:val="00EF0F18"/>
    <w:rsid w:val="00EF3494"/>
    <w:rsid w:val="00EF3F7B"/>
    <w:rsid w:val="00F002A3"/>
    <w:rsid w:val="00F03839"/>
    <w:rsid w:val="00F03EDC"/>
    <w:rsid w:val="00F15A01"/>
    <w:rsid w:val="00F1714C"/>
    <w:rsid w:val="00F20E31"/>
    <w:rsid w:val="00F20F15"/>
    <w:rsid w:val="00F2109D"/>
    <w:rsid w:val="00F22070"/>
    <w:rsid w:val="00F237B8"/>
    <w:rsid w:val="00F23A37"/>
    <w:rsid w:val="00F27EA8"/>
    <w:rsid w:val="00F37F54"/>
    <w:rsid w:val="00F4104C"/>
    <w:rsid w:val="00F434AE"/>
    <w:rsid w:val="00F44DB4"/>
    <w:rsid w:val="00F44F5D"/>
    <w:rsid w:val="00F5076C"/>
    <w:rsid w:val="00F57A6D"/>
    <w:rsid w:val="00F61032"/>
    <w:rsid w:val="00F6710B"/>
    <w:rsid w:val="00F679B6"/>
    <w:rsid w:val="00F70FB7"/>
    <w:rsid w:val="00F75BAC"/>
    <w:rsid w:val="00F8586E"/>
    <w:rsid w:val="00F87051"/>
    <w:rsid w:val="00F93876"/>
    <w:rsid w:val="00F95559"/>
    <w:rsid w:val="00FA043D"/>
    <w:rsid w:val="00FA6F34"/>
    <w:rsid w:val="00FA7DF2"/>
    <w:rsid w:val="00FB00CB"/>
    <w:rsid w:val="00FB0C6C"/>
    <w:rsid w:val="00FB6EA3"/>
    <w:rsid w:val="00FB6F6C"/>
    <w:rsid w:val="00FD47AA"/>
    <w:rsid w:val="00FE13D9"/>
    <w:rsid w:val="00FE1A5A"/>
    <w:rsid w:val="00FE677C"/>
    <w:rsid w:val="00FF14D5"/>
    <w:rsid w:val="00FF63B5"/>
    <w:rsid w:val="0189746C"/>
    <w:rsid w:val="06970514"/>
    <w:rsid w:val="07B26E42"/>
    <w:rsid w:val="09D0500D"/>
    <w:rsid w:val="0EAC1E0C"/>
    <w:rsid w:val="0FF029F4"/>
    <w:rsid w:val="108F06E8"/>
    <w:rsid w:val="10B85478"/>
    <w:rsid w:val="17103AB4"/>
    <w:rsid w:val="1B2B3E46"/>
    <w:rsid w:val="1BE82E22"/>
    <w:rsid w:val="25046CD5"/>
    <w:rsid w:val="283736A7"/>
    <w:rsid w:val="2C4C59A9"/>
    <w:rsid w:val="2C586024"/>
    <w:rsid w:val="2C6F57E6"/>
    <w:rsid w:val="32775E5F"/>
    <w:rsid w:val="341341F4"/>
    <w:rsid w:val="35072DF5"/>
    <w:rsid w:val="35786018"/>
    <w:rsid w:val="36826B55"/>
    <w:rsid w:val="38960633"/>
    <w:rsid w:val="3CD64C0A"/>
    <w:rsid w:val="40BE4BD3"/>
    <w:rsid w:val="44D95FF2"/>
    <w:rsid w:val="454744B7"/>
    <w:rsid w:val="494C7278"/>
    <w:rsid w:val="4E26756D"/>
    <w:rsid w:val="4FC278BB"/>
    <w:rsid w:val="52C61526"/>
    <w:rsid w:val="52D15446"/>
    <w:rsid w:val="52DC737D"/>
    <w:rsid w:val="54016149"/>
    <w:rsid w:val="54AC15F4"/>
    <w:rsid w:val="5E275BAD"/>
    <w:rsid w:val="647713F7"/>
    <w:rsid w:val="65D57885"/>
    <w:rsid w:val="6A1D5288"/>
    <w:rsid w:val="6E6A32EC"/>
    <w:rsid w:val="6F9A7D6C"/>
    <w:rsid w:val="747E0A01"/>
    <w:rsid w:val="74D021C5"/>
    <w:rsid w:val="769243D3"/>
    <w:rsid w:val="786062DF"/>
    <w:rsid w:val="787E0D76"/>
    <w:rsid w:val="79AF7E74"/>
    <w:rsid w:val="7C362947"/>
    <w:rsid w:val="7EBC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widowControl/>
      <w:numPr>
        <w:ilvl w:val="0"/>
        <w:numId w:val="1"/>
      </w:numPr>
      <w:jc w:val="center"/>
      <w:outlineLvl w:val="0"/>
    </w:pPr>
    <w:rPr>
      <w:rFonts w:ascii="黑体" w:eastAsia="黑体"/>
      <w:kern w:val="0"/>
      <w:sz w:val="52"/>
      <w:szCs w:val="20"/>
      <w:lang w:val="zh-CN"/>
    </w:rPr>
  </w:style>
  <w:style w:type="paragraph" w:styleId="3">
    <w:name w:val="heading 3"/>
    <w:basedOn w:val="1"/>
    <w:next w:val="4"/>
    <w:link w:val="30"/>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6"/>
    <w:basedOn w:val="1"/>
    <w:next w:val="1"/>
    <w:link w:val="3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6">
    <w:name w:val="heading 7"/>
    <w:basedOn w:val="1"/>
    <w:next w:val="1"/>
    <w:link w:val="32"/>
    <w:qFormat/>
    <w:uiPriority w:val="0"/>
    <w:pPr>
      <w:keepNext/>
      <w:keepLines/>
      <w:widowControl/>
      <w:numPr>
        <w:ilvl w:val="6"/>
        <w:numId w:val="1"/>
      </w:numPr>
      <w:spacing w:before="240" w:after="64" w:line="320" w:lineRule="auto"/>
      <w:jc w:val="left"/>
      <w:outlineLvl w:val="6"/>
    </w:pPr>
    <w:rPr>
      <w:b/>
      <w:bCs/>
      <w:kern w:val="0"/>
      <w:sz w:val="24"/>
    </w:rPr>
  </w:style>
  <w:style w:type="paragraph" w:styleId="7">
    <w:name w:val="heading 8"/>
    <w:basedOn w:val="1"/>
    <w:next w:val="1"/>
    <w:link w:val="33"/>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8">
    <w:name w:val="heading 9"/>
    <w:basedOn w:val="1"/>
    <w:next w:val="1"/>
    <w:link w:val="3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9">
    <w:name w:val="Body Text"/>
    <w:basedOn w:val="1"/>
    <w:link w:val="42"/>
    <w:semiHidden/>
    <w:unhideWhenUsed/>
    <w:qFormat/>
    <w:uiPriority w:val="99"/>
    <w:pPr>
      <w:spacing w:after="120"/>
    </w:pPr>
  </w:style>
  <w:style w:type="paragraph" w:styleId="10">
    <w:name w:val="toc 3"/>
    <w:basedOn w:val="1"/>
    <w:next w:val="1"/>
    <w:unhideWhenUsed/>
    <w:qFormat/>
    <w:uiPriority w:val="39"/>
    <w:pPr>
      <w:ind w:left="840" w:leftChars="400"/>
    </w:pPr>
  </w:style>
  <w:style w:type="paragraph" w:styleId="11">
    <w:name w:val="Plain Text"/>
    <w:basedOn w:val="1"/>
    <w:link w:val="39"/>
    <w:qFormat/>
    <w:uiPriority w:val="0"/>
    <w:rPr>
      <w:rFonts w:ascii="宋体" w:hAnsi="Courier New"/>
      <w:szCs w:val="20"/>
    </w:rPr>
  </w:style>
  <w:style w:type="paragraph" w:styleId="12">
    <w:name w:val="Date"/>
    <w:basedOn w:val="1"/>
    <w:next w:val="1"/>
    <w:link w:val="40"/>
    <w:unhideWhenUsed/>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36"/>
    <w:unhideWhenUsed/>
    <w:qFormat/>
    <w:uiPriority w:val="99"/>
    <w:pPr>
      <w:tabs>
        <w:tab w:val="center" w:pos="4153"/>
        <w:tab w:val="right" w:pos="8306"/>
      </w:tabs>
      <w:snapToGrid w:val="0"/>
      <w:jc w:val="left"/>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50"/>
    <w:semiHidden/>
    <w:unhideWhenUsed/>
    <w:qFormat/>
    <w:uiPriority w:val="99"/>
    <w:pPr>
      <w:snapToGrid w:val="0"/>
      <w:jc w:val="left"/>
    </w:pPr>
    <w:rPr>
      <w:sz w:val="18"/>
      <w:szCs w:val="18"/>
    </w:rPr>
  </w:style>
  <w:style w:type="paragraph" w:styleId="18">
    <w:name w:val="toc 2"/>
    <w:basedOn w:val="1"/>
    <w:next w:val="1"/>
    <w:semiHidden/>
    <w:unhideWhenUsed/>
    <w:qFormat/>
    <w:uiPriority w:val="39"/>
    <w:pPr>
      <w:widowControl/>
      <w:spacing w:after="100" w:line="276" w:lineRule="auto"/>
      <w:ind w:left="220"/>
      <w:jc w:val="left"/>
    </w:pPr>
    <w:rPr>
      <w:rFonts w:ascii="Calibri" w:hAnsi="Calibri"/>
      <w:kern w:val="0"/>
      <w:sz w:val="22"/>
      <w:szCs w:val="22"/>
    </w:rPr>
  </w:style>
  <w:style w:type="paragraph" w:styleId="19">
    <w:name w:val="HTML Preformatted"/>
    <w:basedOn w:val="1"/>
    <w:link w:val="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0">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link w:val="43"/>
    <w:semiHidden/>
    <w:unhideWhenUsed/>
    <w:qFormat/>
    <w:uiPriority w:val="99"/>
    <w:pPr>
      <w:ind w:firstLine="420" w:firstLineChars="100"/>
    </w:pPr>
  </w:style>
  <w:style w:type="table" w:styleId="23">
    <w:name w:val="Table Grid"/>
    <w:basedOn w:val="22"/>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page number"/>
    <w:basedOn w:val="24"/>
    <w:qFormat/>
    <w:uiPriority w:val="0"/>
  </w:style>
  <w:style w:type="character" w:styleId="26">
    <w:name w:val="Emphasis"/>
    <w:qFormat/>
    <w:uiPriority w:val="20"/>
    <w:rPr>
      <w:i/>
      <w:iCs/>
    </w:rPr>
  </w:style>
  <w:style w:type="character" w:styleId="27">
    <w:name w:val="Hyperlink"/>
    <w:unhideWhenUsed/>
    <w:qFormat/>
    <w:uiPriority w:val="99"/>
    <w:rPr>
      <w:color w:val="0000FF"/>
      <w:u w:val="single"/>
    </w:rPr>
  </w:style>
  <w:style w:type="character" w:styleId="28">
    <w:name w:val="footnote reference"/>
    <w:basedOn w:val="24"/>
    <w:semiHidden/>
    <w:unhideWhenUsed/>
    <w:qFormat/>
    <w:uiPriority w:val="99"/>
    <w:rPr>
      <w:vertAlign w:val="superscript"/>
    </w:rPr>
  </w:style>
  <w:style w:type="character" w:customStyle="1" w:styleId="29">
    <w:name w:val="标题 1 字符"/>
    <w:link w:val="2"/>
    <w:qFormat/>
    <w:uiPriority w:val="0"/>
    <w:rPr>
      <w:rFonts w:ascii="黑体" w:hAnsi="Times New Roman" w:eastAsia="黑体"/>
      <w:sz w:val="52"/>
      <w:lang w:val="zh-CN" w:eastAsia="zh-CN"/>
    </w:rPr>
  </w:style>
  <w:style w:type="character" w:customStyle="1" w:styleId="30">
    <w:name w:val="标题 3 字符"/>
    <w:link w:val="3"/>
    <w:qFormat/>
    <w:uiPriority w:val="0"/>
    <w:rPr>
      <w:rFonts w:ascii="Times New Roman" w:hAnsi="Times New Roman"/>
      <w:b/>
      <w:sz w:val="32"/>
    </w:rPr>
  </w:style>
  <w:style w:type="character" w:customStyle="1" w:styleId="31">
    <w:name w:val="标题 6 字符"/>
    <w:link w:val="5"/>
    <w:qFormat/>
    <w:uiPriority w:val="0"/>
    <w:rPr>
      <w:rFonts w:ascii="Arial" w:hAnsi="Arial" w:eastAsia="黑体"/>
      <w:b/>
      <w:bCs/>
      <w:sz w:val="24"/>
      <w:szCs w:val="24"/>
    </w:rPr>
  </w:style>
  <w:style w:type="character" w:customStyle="1" w:styleId="32">
    <w:name w:val="标题 7 字符"/>
    <w:link w:val="6"/>
    <w:qFormat/>
    <w:uiPriority w:val="0"/>
    <w:rPr>
      <w:rFonts w:ascii="Times New Roman" w:hAnsi="Times New Roman"/>
      <w:b/>
      <w:bCs/>
      <w:sz w:val="24"/>
      <w:szCs w:val="24"/>
    </w:rPr>
  </w:style>
  <w:style w:type="character" w:customStyle="1" w:styleId="33">
    <w:name w:val="标题 8 字符"/>
    <w:link w:val="7"/>
    <w:qFormat/>
    <w:uiPriority w:val="0"/>
    <w:rPr>
      <w:rFonts w:ascii="Arial" w:hAnsi="Arial" w:eastAsia="黑体"/>
      <w:sz w:val="24"/>
      <w:szCs w:val="24"/>
    </w:rPr>
  </w:style>
  <w:style w:type="character" w:customStyle="1" w:styleId="34">
    <w:name w:val="标题 9 字符"/>
    <w:link w:val="8"/>
    <w:qFormat/>
    <w:uiPriority w:val="0"/>
    <w:rPr>
      <w:rFonts w:ascii="Arial" w:hAnsi="Arial" w:eastAsia="黑体"/>
      <w:sz w:val="21"/>
      <w:szCs w:val="21"/>
    </w:rPr>
  </w:style>
  <w:style w:type="character" w:customStyle="1" w:styleId="35">
    <w:name w:val="页眉 字符"/>
    <w:link w:val="15"/>
    <w:qFormat/>
    <w:uiPriority w:val="99"/>
    <w:rPr>
      <w:rFonts w:ascii="Times New Roman" w:hAnsi="Times New Roman"/>
      <w:kern w:val="2"/>
      <w:sz w:val="18"/>
      <w:szCs w:val="18"/>
    </w:rPr>
  </w:style>
  <w:style w:type="character" w:customStyle="1" w:styleId="36">
    <w:name w:val="页脚 字符"/>
    <w:link w:val="14"/>
    <w:qFormat/>
    <w:uiPriority w:val="99"/>
    <w:rPr>
      <w:rFonts w:ascii="Times New Roman" w:hAnsi="Times New Roman"/>
      <w:kern w:val="2"/>
      <w:sz w:val="18"/>
      <w:szCs w:val="18"/>
    </w:rPr>
  </w:style>
  <w:style w:type="paragraph" w:styleId="37">
    <w:name w:val="List Paragraph"/>
    <w:basedOn w:val="1"/>
    <w:qFormat/>
    <w:uiPriority w:val="0"/>
    <w:pPr>
      <w:ind w:firstLine="420" w:firstLineChars="200"/>
    </w:pPr>
    <w:rPr>
      <w:rFonts w:ascii="Calibri" w:hAnsi="Calibri"/>
      <w:szCs w:val="22"/>
    </w:rPr>
  </w:style>
  <w:style w:type="character" w:customStyle="1" w:styleId="38">
    <w:name w:val="HTML 预设格式 字符"/>
    <w:link w:val="19"/>
    <w:qFormat/>
    <w:uiPriority w:val="0"/>
    <w:rPr>
      <w:rFonts w:ascii="Arial" w:hAnsi="Arial" w:cs="Arial"/>
      <w:sz w:val="24"/>
      <w:szCs w:val="24"/>
    </w:rPr>
  </w:style>
  <w:style w:type="character" w:customStyle="1" w:styleId="39">
    <w:name w:val="纯文本 字符"/>
    <w:link w:val="11"/>
    <w:qFormat/>
    <w:uiPriority w:val="0"/>
    <w:rPr>
      <w:rFonts w:ascii="宋体" w:hAnsi="Courier New"/>
      <w:kern w:val="2"/>
      <w:sz w:val="21"/>
    </w:rPr>
  </w:style>
  <w:style w:type="character" w:customStyle="1" w:styleId="40">
    <w:name w:val="日期 字符"/>
    <w:link w:val="12"/>
    <w:qFormat/>
    <w:uiPriority w:val="0"/>
    <w:rPr>
      <w:rFonts w:ascii="Times New Roman" w:hAnsi="Times New Roman"/>
      <w:kern w:val="2"/>
      <w:sz w:val="21"/>
      <w:szCs w:val="24"/>
    </w:rPr>
  </w:style>
  <w:style w:type="paragraph" w:customStyle="1" w:styleId="41">
    <w:name w:val="正文，征文标号2"/>
    <w:basedOn w:val="21"/>
    <w:qFormat/>
    <w:uiPriority w:val="0"/>
    <w:pPr>
      <w:widowControl/>
      <w:numPr>
        <w:ilvl w:val="0"/>
        <w:numId w:val="2"/>
      </w:numPr>
      <w:autoSpaceDE w:val="0"/>
      <w:autoSpaceDN w:val="0"/>
      <w:adjustRightInd w:val="0"/>
      <w:snapToGrid w:val="0"/>
      <w:spacing w:line="300" w:lineRule="auto"/>
      <w:ind w:firstLine="0" w:firstLineChars="0"/>
    </w:pPr>
    <w:rPr>
      <w:rFonts w:ascii="宋体" w:hAnsi="宋体"/>
      <w:kern w:val="0"/>
      <w:sz w:val="24"/>
      <w:szCs w:val="20"/>
    </w:rPr>
  </w:style>
  <w:style w:type="character" w:customStyle="1" w:styleId="42">
    <w:name w:val="正文文本 字符"/>
    <w:link w:val="9"/>
    <w:semiHidden/>
    <w:qFormat/>
    <w:uiPriority w:val="99"/>
    <w:rPr>
      <w:rFonts w:ascii="Times New Roman" w:hAnsi="Times New Roman"/>
      <w:kern w:val="2"/>
      <w:sz w:val="21"/>
      <w:szCs w:val="24"/>
    </w:rPr>
  </w:style>
  <w:style w:type="character" w:customStyle="1" w:styleId="43">
    <w:name w:val="正文文本首行缩进 字符"/>
    <w:basedOn w:val="42"/>
    <w:link w:val="21"/>
    <w:semiHidden/>
    <w:qFormat/>
    <w:uiPriority w:val="99"/>
    <w:rPr>
      <w:rFonts w:ascii="Times New Roman" w:hAnsi="Times New Roman"/>
      <w:kern w:val="2"/>
      <w:sz w:val="21"/>
      <w:szCs w:val="24"/>
    </w:rPr>
  </w:style>
  <w:style w:type="paragraph" w:customStyle="1" w:styleId="44">
    <w:name w:val="款"/>
    <w:basedOn w:val="1"/>
    <w:qFormat/>
    <w:uiPriority w:val="0"/>
    <w:pPr>
      <w:numPr>
        <w:ilvl w:val="0"/>
        <w:numId w:val="3"/>
      </w:numPr>
    </w:pPr>
    <w:rPr>
      <w:szCs w:val="20"/>
    </w:rPr>
  </w:style>
  <w:style w:type="paragraph" w:customStyle="1" w:styleId="45">
    <w:name w:val="1"/>
    <w:basedOn w:val="1"/>
    <w:qFormat/>
    <w:uiPriority w:val="0"/>
    <w:pPr>
      <w:spacing w:after="156" w:afterLines="50" w:line="360" w:lineRule="auto"/>
      <w:ind w:firstLine="3243" w:firstLineChars="1080"/>
    </w:pPr>
    <w:rPr>
      <w:rFonts w:ascii="宋体" w:hAnsi="宋体"/>
      <w:b/>
      <w:sz w:val="30"/>
      <w:szCs w:val="21"/>
    </w:rPr>
  </w:style>
  <w:style w:type="paragraph" w:styleId="46">
    <w:name w:val="No Spacing"/>
    <w:link w:val="47"/>
    <w:qFormat/>
    <w:uiPriority w:val="1"/>
    <w:rPr>
      <w:rFonts w:ascii="Calibri" w:hAnsi="Calibri" w:eastAsia="宋体" w:cs="Times New Roman"/>
      <w:sz w:val="22"/>
      <w:szCs w:val="22"/>
      <w:lang w:val="en-US" w:eastAsia="zh-CN" w:bidi="ar-SA"/>
    </w:rPr>
  </w:style>
  <w:style w:type="character" w:customStyle="1" w:styleId="47">
    <w:name w:val="无间隔 字符"/>
    <w:link w:val="46"/>
    <w:qFormat/>
    <w:uiPriority w:val="1"/>
    <w:rPr>
      <w:sz w:val="22"/>
      <w:szCs w:val="22"/>
      <w:lang w:val="en-US" w:eastAsia="zh-CN" w:bidi="ar-SA"/>
    </w:rPr>
  </w:style>
  <w:style w:type="character" w:customStyle="1" w:styleId="48">
    <w:name w:val="已访问的超链接1"/>
    <w:semiHidden/>
    <w:unhideWhenUsed/>
    <w:qFormat/>
    <w:uiPriority w:val="99"/>
    <w:rPr>
      <w:color w:val="800080"/>
      <w:u w:val="single"/>
    </w:rPr>
  </w:style>
  <w:style w:type="paragraph" w:customStyle="1" w:styleId="49">
    <w:name w:val="TOC 标题1"/>
    <w:basedOn w:val="2"/>
    <w:next w:val="1"/>
    <w:semiHidden/>
    <w:unhideWhenUsed/>
    <w:qFormat/>
    <w:uiPriority w:val="39"/>
    <w:pPr>
      <w:keepLines/>
      <w:numPr>
        <w:numId w:val="0"/>
      </w:numPr>
      <w:spacing w:before="480" w:line="276" w:lineRule="auto"/>
      <w:jc w:val="left"/>
      <w:outlineLvl w:val="9"/>
    </w:pPr>
    <w:rPr>
      <w:rFonts w:ascii="Cambria" w:hAnsi="Cambria" w:eastAsia="宋体"/>
      <w:b/>
      <w:bCs/>
      <w:color w:val="365F91"/>
      <w:sz w:val="28"/>
      <w:szCs w:val="28"/>
      <w:lang w:val="en-US"/>
    </w:rPr>
  </w:style>
  <w:style w:type="character" w:customStyle="1" w:styleId="50">
    <w:name w:val="脚注文本 字符"/>
    <w:basedOn w:val="24"/>
    <w:link w:val="17"/>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744FE-5D15-421E-9B1C-8FA3DC99913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667</Words>
  <Characters>3806</Characters>
  <Lines>31</Lines>
  <Paragraphs>8</Paragraphs>
  <TotalTime>27</TotalTime>
  <ScaleCrop>false</ScaleCrop>
  <LinksUpToDate>false</LinksUpToDate>
  <CharactersWithSpaces>4465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2020-04-26T09:28:00Z</dcterms:created>
  <dc:creator>wu_jiwen</dc:creator>
  <cp:lastModifiedBy>Administrator</cp:lastModifiedBy>
  <cp:lastPrinted>2016-10-08T08:07:00Z</cp:lastPrinted>
  <dcterms:modified xsi:type="dcterms:W3CDTF">2022-03-28T12:41:00Z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