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黑体" w:hAnsi="黑体" w:eastAsia="黑体" w:cs="黑体"/>
          <w:bCs/>
          <w:sz w:val="36"/>
          <w:szCs w:val="36"/>
        </w:rPr>
      </w:pPr>
      <w:r>
        <w:rPr>
          <w:rFonts w:hint="eastAsia" w:ascii="黑体" w:hAnsi="黑体" w:eastAsia="黑体" w:cs="黑体"/>
          <w:bCs/>
          <w:sz w:val="36"/>
          <w:szCs w:val="36"/>
          <w:lang w:eastAsia="zh-CN"/>
        </w:rPr>
        <w:t>中铝中州铝业有限公司冯营石灰石矿地质环境与土地监测项目第二次</w:t>
      </w:r>
      <w:bookmarkStart w:id="14" w:name="_GoBack"/>
      <w:bookmarkEnd w:id="14"/>
      <w:r>
        <w:rPr>
          <w:rFonts w:hint="eastAsia" w:ascii="黑体" w:hAnsi="黑体" w:eastAsia="黑体" w:cs="黑体"/>
          <w:bCs/>
          <w:sz w:val="36"/>
          <w:szCs w:val="36"/>
          <w:lang w:eastAsia="zh-CN"/>
        </w:rPr>
        <w:t>采购</w:t>
      </w:r>
      <w:r>
        <w:rPr>
          <w:rFonts w:hint="eastAsia" w:ascii="黑体" w:hAnsi="黑体" w:eastAsia="黑体" w:cs="黑体"/>
          <w:bCs/>
          <w:sz w:val="36"/>
          <w:szCs w:val="36"/>
        </w:rPr>
        <w:t>公告</w:t>
      </w:r>
    </w:p>
    <w:p>
      <w:pPr>
        <w:snapToGrid w:val="0"/>
        <w:spacing w:before="156" w:after="156" w:line="360" w:lineRule="auto"/>
        <w:jc w:val="center"/>
        <w:textAlignment w:val="baseline"/>
        <w:rPr>
          <w:rFonts w:hint="default"/>
          <w:lang w:val="en-US" w:eastAsia="zh-CN"/>
        </w:rPr>
      </w:pPr>
      <w:r>
        <w:rPr>
          <w:rFonts w:hint="eastAsia" w:ascii="黑体" w:hAnsi="黑体" w:eastAsia="黑体" w:cs="黑体"/>
          <w:bCs/>
          <w:sz w:val="36"/>
          <w:szCs w:val="36"/>
          <w:lang w:eastAsia="zh-CN"/>
        </w:rPr>
        <w:t>采购编号：</w:t>
      </w:r>
      <w:r>
        <w:rPr>
          <w:rFonts w:hint="eastAsia" w:ascii="黑体" w:hAnsi="黑体" w:eastAsia="黑体" w:cs="黑体"/>
          <w:bCs/>
          <w:sz w:val="36"/>
          <w:szCs w:val="36"/>
          <w:lang w:val="en-US" w:eastAsia="zh-CN"/>
        </w:rPr>
        <w:t>CG-ZZ-202406-SCGK-KSK-004</w:t>
      </w:r>
    </w:p>
    <w:p>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1采购条件</w:t>
      </w:r>
    </w:p>
    <w:p>
      <w:pPr>
        <w:spacing w:line="440" w:lineRule="exact"/>
        <w:ind w:firstLine="480" w:firstLineChars="200"/>
        <w:rPr>
          <w:rFonts w:hint="eastAsia" w:ascii="仿宋" w:hAnsi="仿宋" w:eastAsia="仿宋" w:cs="仿宋"/>
          <w:bCs/>
          <w:sz w:val="24"/>
          <w:lang w:eastAsia="zh-CN"/>
        </w:rPr>
      </w:pPr>
      <w:r>
        <w:rPr>
          <w:rFonts w:hint="eastAsia" w:ascii="仿宋_GB2312" w:hAnsi="Calibri" w:eastAsia="仿宋_GB2312" w:cs="Times New Roman"/>
          <w:bCs/>
          <w:kern w:val="2"/>
          <w:sz w:val="24"/>
          <w:szCs w:val="24"/>
          <w:lang w:val="en-US" w:eastAsia="zh-CN" w:bidi="ar-SA"/>
        </w:rPr>
        <w:t>中铝中州铝业有限公司冯营石灰石矿地质环境与土地监测项目</w:t>
      </w:r>
      <w:r>
        <w:rPr>
          <w:rFonts w:hint="eastAsia" w:ascii="仿宋" w:hAnsi="仿宋" w:eastAsia="仿宋" w:cs="仿宋"/>
          <w:bCs/>
          <w:sz w:val="24"/>
          <w:lang w:eastAsia="zh-CN"/>
        </w:rPr>
        <w:t>已具备采购条件，资金自筹且已落实。采购人为：中铝中州铝业有限公司生产管控中心。采购人现对该项目进行</w:t>
      </w:r>
      <w:r>
        <w:rPr>
          <w:rFonts w:hint="eastAsia" w:ascii="仿宋" w:hAnsi="仿宋" w:eastAsia="仿宋" w:cs="仿宋"/>
          <w:bCs/>
          <w:sz w:val="24"/>
          <w:lang w:val="en-US" w:eastAsia="zh-CN"/>
        </w:rPr>
        <w:t>公开询比</w:t>
      </w:r>
      <w:r>
        <w:rPr>
          <w:rFonts w:hint="eastAsia" w:ascii="仿宋" w:hAnsi="仿宋" w:eastAsia="仿宋" w:cs="仿宋"/>
          <w:bCs/>
          <w:sz w:val="24"/>
        </w:rPr>
        <w:t>采购</w:t>
      </w:r>
      <w:r>
        <w:rPr>
          <w:rFonts w:hint="eastAsia" w:ascii="仿宋" w:hAnsi="仿宋" w:eastAsia="仿宋" w:cs="仿宋"/>
          <w:bCs/>
          <w:sz w:val="24"/>
          <w:lang w:eastAsia="zh-CN"/>
        </w:rPr>
        <w:t>，报价方式为现场报价。</w:t>
      </w:r>
    </w:p>
    <w:p>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2项目概况及采购范围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lang w:val="en-US" w:eastAsia="zh-CN"/>
        </w:rPr>
        <w:t>2.1项目名称：</w:t>
      </w:r>
      <w:r>
        <w:rPr>
          <w:rFonts w:hint="eastAsia" w:ascii="仿宋_GB2312" w:hAnsi="Calibri" w:eastAsia="仿宋_GB2312" w:cs="Times New Roman"/>
          <w:bCs/>
          <w:kern w:val="2"/>
          <w:sz w:val="24"/>
          <w:szCs w:val="24"/>
          <w:lang w:val="en-US" w:eastAsia="zh-CN" w:bidi="ar-SA"/>
        </w:rPr>
        <w:t>中铝中州铝业有限公司冯营石灰石矿地质环境与土地监测项目</w:t>
      </w:r>
    </w:p>
    <w:p>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val="en-US" w:eastAsia="zh-CN"/>
        </w:rPr>
        <w:t>2.2</w:t>
      </w:r>
      <w:r>
        <w:rPr>
          <w:rFonts w:hint="eastAsia" w:ascii="仿宋" w:hAnsi="仿宋" w:eastAsia="仿宋" w:cs="仿宋"/>
          <w:bCs/>
          <w:sz w:val="24"/>
          <w:lang w:eastAsia="zh-CN"/>
        </w:rPr>
        <w:t>项目类型：技术服务</w:t>
      </w:r>
    </w:p>
    <w:p>
      <w:pPr>
        <w:spacing w:line="40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2.3项目概况：</w:t>
      </w:r>
      <w:r>
        <w:rPr>
          <w:rFonts w:hint="eastAsia" w:ascii="仿宋_GB2312" w:hAnsi="Calibri" w:eastAsia="仿宋_GB2312" w:cs="Times New Roman"/>
          <w:bCs/>
          <w:kern w:val="2"/>
          <w:sz w:val="24"/>
          <w:szCs w:val="24"/>
          <w:lang w:val="en-US" w:eastAsia="zh-CN" w:bidi="ar-SA"/>
        </w:rPr>
        <w:t>中铝中州铝业有限公司冯营石灰石矿区位于焦作市马村区安阳城街道办事处和修武县七贤镇。矿区总面积1.45平方公里，矿区划分为a、b、c、d四个采区，开采矿种为熔剂用石灰岩，开采方式为露天开采。</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440" w:lineRule="exact"/>
        <w:ind w:left="0" w:leftChars="0" w:firstLine="480" w:firstLineChars="200"/>
        <w:textAlignment w:val="baseline"/>
        <w:rPr>
          <w:rFonts w:hint="eastAsia" w:ascii="仿宋_GB2312" w:hAnsi="Times New Roman" w:eastAsia="仿宋_GB2312" w:cs="Times New Roman"/>
          <w:bCs/>
          <w:color w:val="000000"/>
          <w:sz w:val="24"/>
          <w:lang w:val="en-US" w:eastAsia="zh-CN"/>
        </w:rPr>
      </w:pPr>
      <w:r>
        <w:rPr>
          <w:rFonts w:hint="eastAsia" w:ascii="仿宋" w:hAnsi="仿宋" w:eastAsia="仿宋" w:cs="仿宋"/>
          <w:bCs/>
          <w:sz w:val="24"/>
          <w:lang w:val="en-US" w:eastAsia="zh-CN"/>
        </w:rPr>
        <w:t>2.4项目地点：</w:t>
      </w:r>
      <w:r>
        <w:rPr>
          <w:rFonts w:hint="default" w:ascii="仿宋_GB2312" w:hAnsi="宋体" w:eastAsia="仿宋_GB2312"/>
          <w:sz w:val="24"/>
          <w:lang w:val="en-US" w:eastAsia="zh-CN"/>
        </w:rPr>
        <w:t>河南省焦作市马村区安阳城乡和修武县七贤镇</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2.5主要工作内容及质量标准要求：</w:t>
      </w:r>
    </w:p>
    <w:p>
      <w:pPr>
        <w:spacing w:line="460" w:lineRule="exact"/>
        <w:ind w:firstLine="480" w:firstLineChars="200"/>
        <w:rPr>
          <w:rFonts w:hint="eastAsia" w:ascii="仿宋_GB2312" w:hAnsi="Calibri" w:eastAsia="仿宋_GB2312" w:cs="Times New Roman"/>
          <w:bCs/>
          <w:kern w:val="2"/>
          <w:sz w:val="24"/>
          <w:szCs w:val="24"/>
          <w:lang w:val="en-US" w:eastAsia="zh-CN" w:bidi="ar-SA"/>
        </w:rPr>
      </w:pPr>
      <w:r>
        <w:rPr>
          <w:rFonts w:hint="eastAsia" w:ascii="仿宋_GB2312" w:hAnsi="Calibri" w:eastAsia="仿宋_GB2312" w:cs="Times New Roman"/>
          <w:bCs/>
          <w:kern w:val="2"/>
          <w:sz w:val="24"/>
          <w:szCs w:val="24"/>
          <w:lang w:val="en-US" w:eastAsia="zh-CN" w:bidi="ar-SA"/>
        </w:rPr>
        <w:t>2.5.1（1）按照《中铝中州铝业有限公司冯营石灰石矿矿产资源开采与生态修复方案》要求的地质环境与土地监测任务及频次实施，并按要求出具经评审的2024年度、2025年度监测报告。</w:t>
      </w:r>
    </w:p>
    <w:p>
      <w:pPr>
        <w:spacing w:line="460" w:lineRule="exact"/>
        <w:ind w:firstLine="480" w:firstLineChars="200"/>
        <w:rPr>
          <w:rFonts w:hint="eastAsia" w:ascii="仿宋_GB2312" w:hAnsi="Calibri" w:eastAsia="仿宋_GB2312" w:cs="Times New Roman"/>
          <w:bCs/>
          <w:kern w:val="2"/>
          <w:sz w:val="24"/>
          <w:szCs w:val="24"/>
          <w:lang w:val="en-US" w:eastAsia="zh-CN" w:bidi="ar-SA"/>
        </w:rPr>
      </w:pPr>
      <w:r>
        <w:rPr>
          <w:rFonts w:hint="eastAsia" w:ascii="仿宋_GB2312" w:hAnsi="Calibri" w:eastAsia="仿宋_GB2312" w:cs="Times New Roman"/>
          <w:bCs/>
          <w:kern w:val="2"/>
          <w:sz w:val="24"/>
          <w:szCs w:val="24"/>
          <w:lang w:val="en-US" w:eastAsia="zh-CN" w:bidi="ar-SA"/>
        </w:rPr>
        <w:t>（2）2024年9月1日前、2025年9月1日前分别单独形成《中铝中州铝业有限公司冯营石灰石矿边坡及排土场稳定性分析报告》，并通过评审。</w:t>
      </w:r>
    </w:p>
    <w:p>
      <w:pPr>
        <w:spacing w:line="460" w:lineRule="exact"/>
        <w:ind w:firstLine="480" w:firstLineChars="200"/>
        <w:rPr>
          <w:rFonts w:hint="eastAsia" w:ascii="仿宋_GB2312" w:hAnsi="Calibri" w:eastAsia="仿宋_GB2312" w:cs="Times New Roman"/>
          <w:bCs/>
          <w:kern w:val="2"/>
          <w:sz w:val="24"/>
          <w:szCs w:val="24"/>
          <w:lang w:val="en-US" w:eastAsia="zh-CN" w:bidi="ar-SA"/>
        </w:rPr>
      </w:pPr>
      <w:r>
        <w:rPr>
          <w:rFonts w:hint="eastAsia" w:ascii="仿宋_GB2312" w:hAnsi="Calibri" w:eastAsia="仿宋_GB2312" w:cs="Times New Roman"/>
          <w:bCs/>
          <w:kern w:val="2"/>
          <w:sz w:val="24"/>
          <w:szCs w:val="24"/>
          <w:lang w:val="en-US" w:eastAsia="zh-CN" w:bidi="ar-SA"/>
        </w:rPr>
        <w:t>2.5.2提交专家评审会通过的评审意见及成果报告。</w:t>
      </w:r>
    </w:p>
    <w:p>
      <w:pPr>
        <w:spacing w:line="460" w:lineRule="exact"/>
        <w:ind w:firstLine="480" w:firstLineChars="200"/>
        <w:rPr>
          <w:rFonts w:hint="default" w:ascii="仿宋_GB2312" w:hAnsi="Calibri" w:eastAsia="仿宋_GB2312" w:cs="Times New Roman"/>
          <w:bCs/>
          <w:kern w:val="2"/>
          <w:sz w:val="24"/>
          <w:szCs w:val="24"/>
          <w:lang w:val="en-US" w:eastAsia="zh-CN" w:bidi="ar-SA"/>
        </w:rPr>
      </w:pPr>
      <w:r>
        <w:rPr>
          <w:rFonts w:hint="eastAsia" w:ascii="仿宋_GB2312" w:hAnsi="Calibri" w:eastAsia="仿宋_GB2312" w:cs="Times New Roman"/>
          <w:bCs/>
          <w:kern w:val="2"/>
          <w:sz w:val="24"/>
          <w:szCs w:val="24"/>
          <w:lang w:val="en-US" w:eastAsia="zh-CN" w:bidi="ar-SA"/>
        </w:rPr>
        <w:t>2.6工期：自合同签订之日起</w:t>
      </w:r>
      <w:r>
        <w:rPr>
          <w:rFonts w:hint="eastAsia" w:ascii="仿宋_GB2312" w:hAnsi="Calibri" w:eastAsia="仿宋_GB2312" w:cs="Times New Roman"/>
          <w:bCs/>
          <w:kern w:val="2"/>
          <w:sz w:val="24"/>
          <w:szCs w:val="24"/>
          <w:highlight w:val="none"/>
          <w:lang w:val="en-US" w:eastAsia="zh-CN" w:bidi="ar-SA"/>
        </w:rPr>
        <w:t>2年。</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2.7报价注意事项：无。</w:t>
      </w:r>
    </w:p>
    <w:p>
      <w:pPr>
        <w:spacing w:line="440" w:lineRule="exact"/>
        <w:ind w:firstLine="480" w:firstLineChars="200"/>
        <w:rPr>
          <w:rFonts w:hint="eastAsia" w:ascii="仿宋" w:hAnsi="仿宋" w:eastAsia="仿宋" w:cs="仿宋"/>
          <w:bCs/>
          <w:sz w:val="24"/>
          <w:highlight w:val="none"/>
          <w:lang w:val="en-US" w:eastAsia="zh-CN"/>
        </w:rPr>
      </w:pPr>
      <w:r>
        <w:rPr>
          <w:rFonts w:hint="eastAsia" w:ascii="仿宋" w:hAnsi="仿宋" w:eastAsia="仿宋" w:cs="仿宋"/>
          <w:bCs/>
          <w:sz w:val="24"/>
          <w:lang w:val="en-US" w:eastAsia="zh-CN"/>
        </w:rPr>
        <w:t>2.8其他要求：见合同格式中的相应条款。</w:t>
      </w:r>
    </w:p>
    <w:p>
      <w:pPr>
        <w:spacing w:line="440" w:lineRule="exact"/>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3报价人资格要求</w:t>
      </w:r>
    </w:p>
    <w:p>
      <w:pPr>
        <w:adjustRightInd w:val="0"/>
        <w:spacing w:line="460" w:lineRule="exact"/>
        <w:ind w:firstLine="480" w:firstLineChars="200"/>
        <w:outlineLvl w:val="2"/>
        <w:rPr>
          <w:rFonts w:hint="eastAsia" w:ascii="仿宋_GB2312" w:hAnsi="Calibri" w:eastAsia="仿宋_GB2312" w:cs="Times New Roman"/>
          <w:bCs/>
          <w:color w:val="auto"/>
          <w:kern w:val="2"/>
          <w:sz w:val="24"/>
          <w:szCs w:val="24"/>
          <w:lang w:val="en-US" w:eastAsia="zh-CN" w:bidi="ar-SA"/>
        </w:rPr>
      </w:pPr>
      <w:r>
        <w:rPr>
          <w:rFonts w:hint="eastAsia" w:ascii="仿宋_GB2312" w:hAnsi="Calibri" w:eastAsia="仿宋_GB2312" w:cs="Times New Roman"/>
          <w:bCs/>
          <w:color w:val="auto"/>
          <w:kern w:val="2"/>
          <w:sz w:val="24"/>
          <w:szCs w:val="24"/>
          <w:lang w:val="en-US" w:eastAsia="zh-CN" w:bidi="ar-SA"/>
        </w:rPr>
        <w:t>3.1  中华人民共和国注册登记的独立法人；</w:t>
      </w:r>
    </w:p>
    <w:p>
      <w:pPr>
        <w:adjustRightInd w:val="0"/>
        <w:spacing w:line="460" w:lineRule="exact"/>
        <w:ind w:firstLine="480" w:firstLineChars="200"/>
        <w:rPr>
          <w:rFonts w:hint="eastAsia" w:ascii="仿宋_GB2312" w:hAnsi="Calibri" w:eastAsia="仿宋_GB2312" w:cs="Times New Roman"/>
          <w:bCs/>
          <w:color w:val="auto"/>
          <w:kern w:val="2"/>
          <w:sz w:val="24"/>
          <w:szCs w:val="24"/>
          <w:lang w:val="en-US" w:eastAsia="zh-CN" w:bidi="ar-SA"/>
        </w:rPr>
      </w:pPr>
      <w:r>
        <w:rPr>
          <w:rFonts w:hint="eastAsia" w:ascii="仿宋_GB2312" w:hAnsi="Calibri" w:eastAsia="仿宋_GB2312" w:cs="Times New Roman"/>
          <w:bCs/>
          <w:color w:val="auto"/>
          <w:kern w:val="2"/>
          <w:sz w:val="24"/>
          <w:szCs w:val="24"/>
          <w:lang w:val="en-US" w:eastAsia="zh-CN" w:bidi="ar-SA"/>
        </w:rPr>
        <w:t>3.2  具备履行合同的能力，包括资质状况，专业、技术资格和能力，资金、设备和其他设施状况，管理能力，经验、信誉和相应的从业人员；</w:t>
      </w:r>
    </w:p>
    <w:p>
      <w:pPr>
        <w:adjustRightInd w:val="0"/>
        <w:spacing w:line="460" w:lineRule="exact"/>
        <w:ind w:firstLine="480" w:firstLineChars="200"/>
        <w:rPr>
          <w:rFonts w:hint="eastAsia" w:ascii="仿宋_GB2312" w:hAnsi="Calibri" w:eastAsia="仿宋_GB2312" w:cs="Times New Roman"/>
          <w:bCs/>
          <w:color w:val="auto"/>
          <w:kern w:val="2"/>
          <w:sz w:val="24"/>
          <w:szCs w:val="24"/>
          <w:lang w:val="en-US" w:eastAsia="zh-CN" w:bidi="ar-SA"/>
        </w:rPr>
      </w:pPr>
      <w:r>
        <w:rPr>
          <w:rFonts w:hint="eastAsia" w:ascii="仿宋_GB2312" w:hAnsi="Calibri" w:eastAsia="仿宋_GB2312" w:cs="Times New Roman"/>
          <w:bCs/>
          <w:color w:val="auto"/>
          <w:kern w:val="2"/>
          <w:sz w:val="24"/>
          <w:szCs w:val="24"/>
          <w:lang w:val="en-US" w:eastAsia="zh-CN" w:bidi="ar-SA"/>
        </w:rPr>
        <w:t>3.3  报价人没有处于被责令停业，报价资格没有被取消，财产没有被接管、冻结、破产状态；在最近三年内没有骗取中选和严重违约及重大质量问题；</w:t>
      </w:r>
    </w:p>
    <w:p>
      <w:pPr>
        <w:adjustRightInd w:val="0"/>
        <w:spacing w:line="460" w:lineRule="exact"/>
        <w:ind w:firstLine="480" w:firstLineChars="200"/>
        <w:rPr>
          <w:rFonts w:hint="eastAsia" w:ascii="仿宋_GB2312" w:hAnsi="Calibri" w:eastAsia="仿宋_GB2312" w:cs="Times New Roman"/>
          <w:bCs/>
          <w:color w:val="auto"/>
          <w:kern w:val="2"/>
          <w:sz w:val="24"/>
          <w:szCs w:val="24"/>
          <w:lang w:val="en-US" w:eastAsia="zh-CN" w:bidi="ar-SA"/>
        </w:rPr>
      </w:pPr>
      <w:r>
        <w:rPr>
          <w:rFonts w:hint="eastAsia" w:ascii="仿宋_GB2312" w:hAnsi="Calibri" w:eastAsia="仿宋_GB2312" w:cs="Times New Roman"/>
          <w:bCs/>
          <w:color w:val="auto"/>
          <w:kern w:val="2"/>
          <w:sz w:val="24"/>
          <w:szCs w:val="24"/>
          <w:lang w:val="en-US" w:eastAsia="zh-CN" w:bidi="ar-SA"/>
        </w:rPr>
        <w:t>3.4  信誉要求:报价人在全国法院失信被执行人名单信息公布与查询网(http://zxgk.court.gov.cn)和国家发展改革委信用中国(www.creditchina.gov.cn)网站上未被列入失信被执行人、重大税收违法案件当事人名单;未列入中铝集团有限公司承包商黑名单；</w:t>
      </w:r>
    </w:p>
    <w:p>
      <w:pPr>
        <w:adjustRightInd w:val="0"/>
        <w:spacing w:line="460" w:lineRule="exact"/>
        <w:ind w:firstLine="480" w:firstLineChars="200"/>
        <w:rPr>
          <w:rFonts w:hint="eastAsia" w:ascii="仿宋_GB2312" w:hAnsi="Calibri" w:eastAsia="仿宋_GB2312" w:cs="Times New Roman"/>
          <w:bCs/>
          <w:color w:val="auto"/>
          <w:kern w:val="2"/>
          <w:sz w:val="24"/>
          <w:szCs w:val="24"/>
          <w:highlight w:val="yellow"/>
          <w:lang w:val="en-US" w:eastAsia="zh-CN" w:bidi="ar-SA"/>
        </w:rPr>
      </w:pPr>
      <w:r>
        <w:rPr>
          <w:rFonts w:hint="eastAsia" w:ascii="仿宋_GB2312" w:hAnsi="Calibri" w:eastAsia="仿宋_GB2312" w:cs="Times New Roman"/>
          <w:bCs/>
          <w:color w:val="auto"/>
          <w:kern w:val="2"/>
          <w:sz w:val="24"/>
          <w:szCs w:val="24"/>
          <w:highlight w:val="yellow"/>
          <w:lang w:val="en-US" w:eastAsia="zh-CN" w:bidi="ar-SA"/>
        </w:rPr>
        <w:t>3.5  2021-2023年有承担编制地质环境与土地检测项目监测报告并通过评审的业绩；</w:t>
      </w:r>
    </w:p>
    <w:p>
      <w:pPr>
        <w:adjustRightInd w:val="0"/>
        <w:spacing w:line="460" w:lineRule="exact"/>
        <w:ind w:firstLine="480" w:firstLineChars="200"/>
        <w:rPr>
          <w:rFonts w:hint="eastAsia" w:ascii="仿宋_GB2312" w:hAnsi="Calibri" w:eastAsia="仿宋_GB2312" w:cs="Times New Roman"/>
          <w:bCs/>
          <w:color w:val="auto"/>
          <w:kern w:val="2"/>
          <w:sz w:val="24"/>
          <w:szCs w:val="24"/>
          <w:lang w:val="en-US" w:eastAsia="zh-CN" w:bidi="ar-SA"/>
        </w:rPr>
      </w:pPr>
      <w:r>
        <w:rPr>
          <w:rFonts w:hint="eastAsia" w:ascii="仿宋_GB2312" w:hAnsi="Calibri" w:eastAsia="仿宋_GB2312" w:cs="Times New Roman"/>
          <w:bCs/>
          <w:color w:val="auto"/>
          <w:kern w:val="2"/>
          <w:sz w:val="24"/>
          <w:szCs w:val="24"/>
          <w:lang w:val="en-US" w:eastAsia="zh-CN" w:bidi="ar-SA"/>
        </w:rPr>
        <w:t>3.6  具备法律、行政法规规定的其他资格条件；</w:t>
      </w:r>
    </w:p>
    <w:p>
      <w:pPr>
        <w:adjustRightInd w:val="0"/>
        <w:spacing w:line="460" w:lineRule="exact"/>
        <w:ind w:firstLine="480" w:firstLineChars="200"/>
        <w:rPr>
          <w:rFonts w:hint="eastAsia" w:ascii="仿宋_GB2312" w:hAnsi="Calibri" w:eastAsia="仿宋_GB2312" w:cs="Times New Roman"/>
          <w:bCs/>
          <w:color w:val="auto"/>
          <w:kern w:val="2"/>
          <w:sz w:val="24"/>
          <w:szCs w:val="24"/>
          <w:lang w:val="en-US" w:eastAsia="zh-CN" w:bidi="ar-SA"/>
        </w:rPr>
      </w:pPr>
      <w:r>
        <w:rPr>
          <w:rFonts w:hint="eastAsia" w:ascii="仿宋_GB2312" w:hAnsi="Calibri" w:eastAsia="仿宋_GB2312" w:cs="Times New Roman"/>
          <w:bCs/>
          <w:color w:val="auto"/>
          <w:kern w:val="2"/>
          <w:sz w:val="24"/>
          <w:szCs w:val="24"/>
          <w:lang w:val="en-US" w:eastAsia="zh-CN" w:bidi="ar-SA"/>
        </w:rPr>
        <w:t>3.7  本项目不允许联合体报价。</w:t>
      </w:r>
    </w:p>
    <w:p>
      <w:pPr>
        <w:adjustRightInd w:val="0"/>
        <w:spacing w:line="460" w:lineRule="exact"/>
        <w:ind w:firstLine="480" w:firstLineChars="200"/>
        <w:rPr>
          <w:rFonts w:hint="eastAsia" w:ascii="仿宋_GB2312" w:hAnsi="Calibri" w:eastAsia="仿宋_GB2312" w:cs="Times New Roman"/>
          <w:bCs/>
          <w:color w:val="auto"/>
          <w:kern w:val="2"/>
          <w:sz w:val="24"/>
          <w:szCs w:val="24"/>
          <w:lang w:val="en-US" w:eastAsia="zh-CN" w:bidi="ar-SA"/>
        </w:rPr>
      </w:pPr>
      <w:r>
        <w:rPr>
          <w:rFonts w:hint="eastAsia" w:ascii="仿宋_GB2312" w:hAnsi="Calibri" w:eastAsia="仿宋_GB2312" w:cs="Times New Roman"/>
          <w:bCs/>
          <w:color w:val="auto"/>
          <w:kern w:val="2"/>
          <w:sz w:val="24"/>
          <w:szCs w:val="24"/>
          <w:lang w:val="en-US" w:eastAsia="zh-CN" w:bidi="ar-SA"/>
        </w:rPr>
        <w:t>3.8  报价人的安全能力能满足采购文件的要求，包括资质能力、管理能力、人员能力、绩效能力等。</w:t>
      </w:r>
    </w:p>
    <w:p>
      <w:pPr>
        <w:spacing w:line="440" w:lineRule="exact"/>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4采购报名和采购文件的获取</w:t>
      </w:r>
    </w:p>
    <w:p>
      <w:pPr>
        <w:numPr>
          <w:ilvl w:val="0"/>
          <w:numId w:val="0"/>
        </w:numPr>
        <w:kinsoku/>
        <w:autoSpaceDE/>
        <w:autoSpaceDN/>
        <w:bidi w:val="0"/>
        <w:spacing w:beforeAutospacing="0" w:after="0" w:afterAutospacing="0" w:line="440" w:lineRule="atLeast"/>
        <w:ind w:left="0" w:leftChars="0" w:firstLine="480" w:firstLineChars="200"/>
        <w:rPr>
          <w:rFonts w:ascii="仿宋_GB2312" w:hAnsi="仿宋_GB2312" w:eastAsia="仿宋_GB2312" w:cs="仿宋_GB2312"/>
          <w:b w:val="0"/>
          <w:bCs/>
          <w:sz w:val="24"/>
        </w:rPr>
      </w:pPr>
      <w:bookmarkStart w:id="0" w:name="_Toc518044994"/>
      <w:bookmarkStart w:id="1" w:name="_Toc27489"/>
      <w:bookmarkStart w:id="2" w:name="_Toc517804008"/>
      <w:bookmarkStart w:id="3" w:name="_Toc3201944"/>
      <w:r>
        <w:rPr>
          <w:rFonts w:hint="eastAsia" w:ascii="仿宋_GB2312" w:eastAsia="仿宋_GB2312"/>
          <w:b w:val="0"/>
          <w:bCs/>
          <w:sz w:val="24"/>
          <w:lang w:val="en-US" w:eastAsia="zh-CN"/>
        </w:rPr>
        <w:t>4.1</w:t>
      </w:r>
      <w:r>
        <w:rPr>
          <w:rFonts w:hint="eastAsia" w:ascii="仿宋_GB2312" w:hAnsi="仿宋_GB2312" w:eastAsia="仿宋_GB2312" w:cs="仿宋_GB2312"/>
          <w:b w:val="0"/>
          <w:bCs/>
          <w:sz w:val="24"/>
        </w:rPr>
        <w:t>采购文件</w:t>
      </w:r>
      <w:r>
        <w:rPr>
          <w:rFonts w:hint="eastAsia" w:ascii="仿宋_GB2312" w:hAnsi="仿宋_GB2312" w:eastAsia="仿宋_GB2312" w:cs="仿宋_GB2312"/>
          <w:b w:val="0"/>
          <w:bCs/>
          <w:sz w:val="24"/>
          <w:lang w:val="en-US" w:eastAsia="zh-CN"/>
        </w:rPr>
        <w:t>购买须知</w:t>
      </w:r>
      <w:r>
        <w:rPr>
          <w:rFonts w:hint="eastAsia" w:ascii="仿宋_GB2312" w:hAnsi="仿宋_GB2312" w:eastAsia="仿宋_GB2312" w:cs="仿宋_GB2312"/>
          <w:b w:val="0"/>
          <w:bCs/>
          <w:sz w:val="24"/>
          <w:highlight w:val="none"/>
        </w:rPr>
        <w:t>：</w:t>
      </w:r>
    </w:p>
    <w:p>
      <w:pPr>
        <w:kinsoku/>
        <w:autoSpaceDE/>
        <w:autoSpaceDN/>
        <w:bidi w:val="0"/>
        <w:snapToGrid w:val="0"/>
        <w:spacing w:beforeAutospacing="0" w:after="0" w:afterAutospacing="0" w:line="440" w:lineRule="atLeast"/>
        <w:ind w:left="0" w:leftChars="0" w:firstLine="480" w:firstLineChars="200"/>
        <w:textAlignment w:val="baseline"/>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采购文件的价格为</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00元/份，采购文件购买后该费用无论何种原因或中选与否均不予退还。采购文件必须通过联系人获取，未通过联系人获取采购文件的均视为无效采购，取消其报价资格。拟报价人必须将付款凭证原件、传真（或扫描后电子邮件）传送至联系人后方可取得采购文件（电子版）。电子版通过</w:t>
      </w:r>
      <w:r>
        <w:rPr>
          <w:rFonts w:hint="eastAsia" w:ascii="仿宋_GB2312" w:hAnsi="仿宋_GB2312" w:eastAsia="仿宋_GB2312" w:cs="仿宋_GB2312"/>
          <w:color w:val="auto"/>
          <w:sz w:val="24"/>
          <w:highlight w:val="none"/>
          <w:lang w:val="en-US" w:eastAsia="zh-CN"/>
        </w:rPr>
        <w:t>微信方式</w:t>
      </w:r>
      <w:r>
        <w:rPr>
          <w:rFonts w:hint="eastAsia" w:ascii="仿宋_GB2312" w:hAnsi="仿宋_GB2312" w:eastAsia="仿宋_GB2312" w:cs="仿宋_GB2312"/>
          <w:color w:val="auto"/>
          <w:sz w:val="24"/>
          <w:highlight w:val="none"/>
        </w:rPr>
        <w:t>发至报价联系人</w:t>
      </w:r>
      <w:r>
        <w:rPr>
          <w:rFonts w:hint="eastAsia" w:ascii="仿宋_GB2312" w:hAnsi="仿宋_GB2312" w:eastAsia="仿宋_GB2312" w:cs="仿宋_GB2312"/>
          <w:color w:val="auto"/>
          <w:sz w:val="24"/>
          <w:highlight w:val="none"/>
          <w:lang w:eastAsia="zh-CN"/>
        </w:rPr>
        <w:t>。</w:t>
      </w:r>
    </w:p>
    <w:p>
      <w:pPr>
        <w:snapToGrid w:val="0"/>
        <w:spacing w:line="400" w:lineRule="exact"/>
        <w:ind w:firstLine="480" w:firstLineChars="200"/>
        <w:textAlignment w:val="baseline"/>
        <w:rPr>
          <w:rFonts w:hint="eastAsia" w:ascii="仿宋_GB2312" w:hAnsi="仿宋_GB2312" w:eastAsia="仿宋_GB2312" w:cs="仿宋_GB2312"/>
          <w:color w:val="auto"/>
          <w:sz w:val="24"/>
          <w:highlight w:val="none"/>
          <w:lang w:eastAsia="zh-CN"/>
        </w:rPr>
      </w:pPr>
      <w:r>
        <w:rPr>
          <w:rFonts w:hint="eastAsia" w:ascii="仿宋" w:hAnsi="仿宋" w:eastAsia="仿宋" w:cs="仿宋"/>
          <w:bCs/>
          <w:color w:val="000000"/>
          <w:sz w:val="24"/>
          <w:szCs w:val="24"/>
          <w:highlight w:val="yellow"/>
          <w:lang w:val="en-US" w:eastAsia="zh-CN"/>
        </w:rPr>
        <w:t>报价单位需在现场报价前向采购人缴纳报价保证金1万元，未缴纳报价保证金将不具备报价资格。</w:t>
      </w:r>
    </w:p>
    <w:p>
      <w:pPr>
        <w:numPr>
          <w:ilvl w:val="0"/>
          <w:numId w:val="0"/>
        </w:numPr>
        <w:kinsoku/>
        <w:autoSpaceDE/>
        <w:autoSpaceDN/>
        <w:bidi w:val="0"/>
        <w:spacing w:beforeAutospacing="0" w:after="0" w:afterAutospacing="0" w:line="440" w:lineRule="atLeast"/>
        <w:ind w:left="0" w:leftChars="0"/>
        <w:rPr>
          <w:rFonts w:hint="eastAsia" w:ascii="仿宋_GB2312" w:hAnsi="Times New Roman" w:eastAsia="仿宋_GB2312" w:cs="Times New Roman"/>
          <w:bCs/>
          <w:color w:val="000000"/>
          <w:sz w:val="24"/>
          <w:lang w:val="en-US" w:eastAsia="zh-CN"/>
        </w:rPr>
      </w:pPr>
      <w:r>
        <w:rPr>
          <w:rFonts w:hint="eastAsia" w:ascii="仿宋_GB2312" w:hAnsi="仿宋_GB2312" w:eastAsia="仿宋_GB2312" w:cs="仿宋_GB2312"/>
          <w:b w:val="0"/>
          <w:bCs w:val="0"/>
          <w:color w:val="auto"/>
          <w:sz w:val="24"/>
          <w:highlight w:val="none"/>
          <w:lang w:val="en-US" w:eastAsia="zh-CN"/>
        </w:rPr>
        <w:t xml:space="preserve">4.2 </w:t>
      </w:r>
      <w:r>
        <w:rPr>
          <w:rFonts w:hint="eastAsia" w:ascii="仿宋_GB2312" w:hAnsi="仿宋_GB2312" w:eastAsia="仿宋_GB2312" w:cs="仿宋_GB2312"/>
          <w:b w:val="0"/>
          <w:bCs w:val="0"/>
          <w:color w:val="auto"/>
          <w:sz w:val="24"/>
          <w:highlight w:val="none"/>
        </w:rPr>
        <w:t>购买采购文件时间：</w:t>
      </w:r>
      <w:r>
        <w:rPr>
          <w:rFonts w:hint="eastAsia" w:ascii="仿宋_GB2312" w:hAnsi="Times New Roman" w:eastAsia="仿宋_GB2312" w:cs="Times New Roman"/>
          <w:bCs/>
          <w:color w:val="000000"/>
          <w:sz w:val="24"/>
          <w:lang w:val="en-US" w:eastAsia="zh-CN"/>
        </w:rPr>
        <w:t>自公告之日起至2024年</w:t>
      </w:r>
      <w:r>
        <w:rPr>
          <w:rFonts w:hint="eastAsia" w:ascii="仿宋_GB2312" w:eastAsia="仿宋_GB2312" w:cs="Times New Roman"/>
          <w:bCs/>
          <w:color w:val="000000"/>
          <w:sz w:val="24"/>
          <w:lang w:val="en-US" w:eastAsia="zh-CN"/>
        </w:rPr>
        <w:t>6</w:t>
      </w:r>
      <w:r>
        <w:rPr>
          <w:rFonts w:hint="eastAsia" w:ascii="仿宋_GB2312" w:hAnsi="Times New Roman" w:eastAsia="仿宋_GB2312" w:cs="Times New Roman"/>
          <w:bCs/>
          <w:color w:val="000000"/>
          <w:sz w:val="24"/>
          <w:lang w:val="en-US" w:eastAsia="zh-CN"/>
        </w:rPr>
        <w:t>月</w:t>
      </w:r>
      <w:r>
        <w:rPr>
          <w:rFonts w:hint="eastAsia" w:ascii="仿宋_GB2312" w:eastAsia="仿宋_GB2312" w:cs="Times New Roman"/>
          <w:bCs/>
          <w:color w:val="000000"/>
          <w:sz w:val="24"/>
          <w:lang w:val="en-US" w:eastAsia="zh-CN"/>
        </w:rPr>
        <w:t>24</w:t>
      </w:r>
      <w:r>
        <w:rPr>
          <w:rFonts w:hint="eastAsia" w:ascii="仿宋_GB2312" w:hAnsi="Times New Roman" w:eastAsia="仿宋_GB2312" w:cs="Times New Roman"/>
          <w:bCs/>
          <w:color w:val="000000"/>
          <w:sz w:val="24"/>
          <w:lang w:val="en-US" w:eastAsia="zh-CN"/>
        </w:rPr>
        <w:t>日16:30（北京时间）</w:t>
      </w:r>
    </w:p>
    <w:p>
      <w:pPr>
        <w:numPr>
          <w:ilvl w:val="0"/>
          <w:numId w:val="0"/>
        </w:numPr>
        <w:kinsoku/>
        <w:autoSpaceDE/>
        <w:autoSpaceDN/>
        <w:bidi w:val="0"/>
        <w:spacing w:beforeAutospacing="0" w:after="0" w:afterAutospacing="0" w:line="440" w:lineRule="atLeast"/>
        <w:ind w:left="0" w:leftChars="0" w:firstLine="480" w:firstLineChars="200"/>
        <w:rPr>
          <w:rFonts w:hint="eastAsia" w:ascii="仿宋_GB2312" w:hAnsi="仿宋_GB2312" w:eastAsia="仿宋_GB2312" w:cs="仿宋_GB2312"/>
          <w:sz w:val="24"/>
        </w:rPr>
      </w:pPr>
      <w:r>
        <w:rPr>
          <w:rFonts w:hint="eastAsia" w:ascii="仿宋_GB2312" w:hAnsi="Times New Roman" w:eastAsia="仿宋_GB2312" w:cs="Times New Roman"/>
          <w:bCs/>
          <w:sz w:val="24"/>
          <w:highlight w:val="none"/>
        </w:rPr>
        <w:t>采购文件必须通过联系人获取，未通过联系人获取采购文件的均视为无效采购，取消其报价资格。拟报价人必须将企业营业执照（三证合一）、开户许可证等传送至联系人后方可取得采购文件（电子版）。</w:t>
      </w:r>
    </w:p>
    <w:p>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5资格审查方式</w:t>
      </w:r>
      <w:bookmarkEnd w:id="0"/>
      <w:bookmarkEnd w:id="1"/>
      <w:bookmarkEnd w:id="2"/>
      <w:bookmarkEnd w:id="3"/>
    </w:p>
    <w:p>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本次</w:t>
      </w:r>
      <w:r>
        <w:rPr>
          <w:rFonts w:hint="eastAsia" w:ascii="仿宋" w:hAnsi="仿宋" w:eastAsia="仿宋" w:cs="仿宋"/>
          <w:sz w:val="24"/>
          <w:szCs w:val="24"/>
          <w:lang w:eastAsia="zh-CN"/>
        </w:rPr>
        <w:t>采购</w:t>
      </w:r>
      <w:r>
        <w:rPr>
          <w:rFonts w:hint="eastAsia" w:ascii="仿宋" w:hAnsi="仿宋" w:eastAsia="仿宋" w:cs="仿宋"/>
          <w:sz w:val="24"/>
          <w:szCs w:val="24"/>
        </w:rPr>
        <w:t>资格审查方式采用资格后审，在评</w:t>
      </w:r>
      <w:r>
        <w:rPr>
          <w:rFonts w:hint="eastAsia" w:ascii="仿宋" w:hAnsi="仿宋" w:eastAsia="仿宋" w:cs="仿宋"/>
          <w:sz w:val="24"/>
          <w:szCs w:val="24"/>
          <w:lang w:eastAsia="zh-CN"/>
        </w:rPr>
        <w:t>审</w:t>
      </w:r>
      <w:r>
        <w:rPr>
          <w:rFonts w:hint="eastAsia" w:ascii="仿宋" w:hAnsi="仿宋" w:eastAsia="仿宋" w:cs="仿宋"/>
          <w:sz w:val="24"/>
          <w:szCs w:val="24"/>
        </w:rPr>
        <w:t>时由</w:t>
      </w:r>
      <w:r>
        <w:rPr>
          <w:rFonts w:hint="eastAsia" w:ascii="仿宋" w:hAnsi="仿宋" w:eastAsia="仿宋" w:cs="仿宋"/>
          <w:sz w:val="24"/>
          <w:szCs w:val="24"/>
          <w:lang w:val="en-US" w:eastAsia="zh-CN"/>
        </w:rPr>
        <w:t>评审</w:t>
      </w:r>
      <w:r>
        <w:rPr>
          <w:rFonts w:hint="eastAsia" w:ascii="仿宋" w:hAnsi="仿宋" w:eastAsia="仿宋" w:cs="仿宋"/>
          <w:sz w:val="24"/>
          <w:szCs w:val="24"/>
        </w:rPr>
        <w:t>委员会对</w:t>
      </w:r>
      <w:r>
        <w:rPr>
          <w:rFonts w:hint="eastAsia" w:ascii="仿宋" w:hAnsi="仿宋" w:eastAsia="仿宋" w:cs="仿宋"/>
          <w:sz w:val="24"/>
          <w:szCs w:val="24"/>
          <w:lang w:eastAsia="zh-CN"/>
        </w:rPr>
        <w:t>报价</w:t>
      </w:r>
      <w:r>
        <w:rPr>
          <w:rFonts w:hint="eastAsia" w:ascii="仿宋" w:hAnsi="仿宋" w:eastAsia="仿宋" w:cs="仿宋"/>
          <w:sz w:val="24"/>
          <w:szCs w:val="24"/>
        </w:rPr>
        <w:t>人进行资格审查。</w:t>
      </w:r>
    </w:p>
    <w:p>
      <w:pPr>
        <w:spacing w:line="440" w:lineRule="exact"/>
        <w:rPr>
          <w:rFonts w:hint="eastAsia" w:ascii="仿宋" w:hAnsi="仿宋" w:eastAsia="仿宋" w:cs="仿宋"/>
          <w:b/>
          <w:bCs w:val="0"/>
          <w:sz w:val="28"/>
          <w:szCs w:val="28"/>
          <w:lang w:val="en-US" w:eastAsia="zh-CN"/>
        </w:rPr>
      </w:pPr>
      <w:bookmarkStart w:id="4" w:name="_Toc518044995"/>
      <w:bookmarkStart w:id="5" w:name="_Toc517804009"/>
      <w:bookmarkStart w:id="6" w:name="_Toc3201945"/>
      <w:bookmarkStart w:id="7" w:name="_Toc9267"/>
      <w:r>
        <w:rPr>
          <w:rFonts w:hint="eastAsia" w:ascii="仿宋" w:hAnsi="仿宋" w:eastAsia="仿宋" w:cs="仿宋"/>
          <w:b/>
          <w:bCs w:val="0"/>
          <w:sz w:val="28"/>
          <w:szCs w:val="28"/>
          <w:lang w:val="en-US" w:eastAsia="zh-CN"/>
        </w:rPr>
        <w:t>6报价文件的递交</w:t>
      </w:r>
      <w:bookmarkEnd w:id="4"/>
      <w:bookmarkEnd w:id="5"/>
      <w:bookmarkEnd w:id="6"/>
      <w:bookmarkEnd w:id="7"/>
    </w:p>
    <w:p>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.1 </w:t>
      </w:r>
      <w:r>
        <w:rPr>
          <w:rFonts w:hint="eastAsia" w:ascii="仿宋" w:hAnsi="仿宋" w:eastAsia="仿宋" w:cs="仿宋"/>
          <w:sz w:val="24"/>
          <w:szCs w:val="24"/>
          <w:lang w:val="en-US" w:eastAsia="zh-CN"/>
        </w:rPr>
        <w:t>报价</w:t>
      </w:r>
      <w:r>
        <w:rPr>
          <w:rFonts w:hint="eastAsia" w:ascii="仿宋" w:hAnsi="仿宋" w:eastAsia="仿宋" w:cs="仿宋"/>
          <w:sz w:val="24"/>
          <w:szCs w:val="24"/>
        </w:rPr>
        <w:t>文件递交截止时间/</w:t>
      </w:r>
      <w:r>
        <w:rPr>
          <w:rFonts w:hint="eastAsia" w:ascii="仿宋" w:hAnsi="仿宋" w:eastAsia="仿宋" w:cs="仿宋"/>
          <w:sz w:val="24"/>
          <w:szCs w:val="24"/>
          <w:lang w:eastAsia="zh-CN"/>
        </w:rPr>
        <w:t>报价</w:t>
      </w:r>
      <w:r>
        <w:rPr>
          <w:rFonts w:hint="eastAsia" w:ascii="仿宋" w:hAnsi="仿宋" w:eastAsia="仿宋" w:cs="仿宋"/>
          <w:sz w:val="24"/>
          <w:szCs w:val="24"/>
        </w:rPr>
        <w:t>时间：</w:t>
      </w:r>
      <w:r>
        <w:rPr>
          <w:rFonts w:hint="eastAsia" w:ascii="仿宋_GB2312" w:hAnsi="Times New Roman" w:eastAsia="仿宋_GB2312" w:cs="Times New Roman"/>
          <w:bCs/>
          <w:color w:val="000000"/>
          <w:sz w:val="24"/>
          <w:lang w:val="en-US" w:eastAsia="zh-CN"/>
        </w:rPr>
        <w:t>2024年</w:t>
      </w:r>
      <w:r>
        <w:rPr>
          <w:rFonts w:hint="eastAsia" w:ascii="仿宋_GB2312" w:eastAsia="仿宋_GB2312" w:cs="Times New Roman"/>
          <w:bCs/>
          <w:color w:val="000000"/>
          <w:sz w:val="24"/>
          <w:lang w:val="en-US" w:eastAsia="zh-CN"/>
        </w:rPr>
        <w:t>6</w:t>
      </w:r>
      <w:r>
        <w:rPr>
          <w:rFonts w:hint="eastAsia" w:ascii="仿宋_GB2312" w:hAnsi="Times New Roman" w:eastAsia="仿宋_GB2312" w:cs="Times New Roman"/>
          <w:bCs/>
          <w:color w:val="000000"/>
          <w:sz w:val="24"/>
          <w:lang w:val="en-US" w:eastAsia="zh-CN"/>
        </w:rPr>
        <w:t>月</w:t>
      </w:r>
      <w:r>
        <w:rPr>
          <w:rFonts w:hint="eastAsia" w:ascii="仿宋_GB2312" w:eastAsia="仿宋_GB2312" w:cs="Times New Roman"/>
          <w:bCs/>
          <w:color w:val="000000"/>
          <w:sz w:val="24"/>
          <w:lang w:val="en-US" w:eastAsia="zh-CN"/>
        </w:rPr>
        <w:t>25</w:t>
      </w:r>
      <w:r>
        <w:rPr>
          <w:rFonts w:hint="eastAsia" w:ascii="仿宋_GB2312" w:hAnsi="Times New Roman" w:eastAsia="仿宋_GB2312" w:cs="Times New Roman"/>
          <w:bCs/>
          <w:color w:val="000000"/>
          <w:sz w:val="24"/>
          <w:lang w:val="en-US" w:eastAsia="zh-CN"/>
        </w:rPr>
        <w:t>日1</w:t>
      </w:r>
      <w:r>
        <w:rPr>
          <w:rFonts w:hint="eastAsia" w:ascii="仿宋_GB2312" w:eastAsia="仿宋_GB2312" w:cs="Times New Roman"/>
          <w:bCs/>
          <w:color w:val="000000"/>
          <w:sz w:val="24"/>
          <w:lang w:val="en-US" w:eastAsia="zh-CN"/>
        </w:rPr>
        <w:t>0</w:t>
      </w:r>
      <w:r>
        <w:rPr>
          <w:rFonts w:hint="eastAsia" w:ascii="仿宋_GB2312" w:hAnsi="Times New Roman" w:eastAsia="仿宋_GB2312" w:cs="Times New Roman"/>
          <w:bCs/>
          <w:color w:val="000000"/>
          <w:sz w:val="24"/>
          <w:lang w:val="en-US" w:eastAsia="zh-CN"/>
        </w:rPr>
        <w:t>:00（北京时间）。</w:t>
      </w:r>
    </w:p>
    <w:p>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.2 </w:t>
      </w:r>
      <w:r>
        <w:rPr>
          <w:rFonts w:hint="eastAsia" w:ascii="仿宋" w:hAnsi="仿宋" w:eastAsia="仿宋" w:cs="仿宋"/>
          <w:sz w:val="24"/>
          <w:szCs w:val="24"/>
          <w:lang w:eastAsia="zh-CN"/>
        </w:rPr>
        <w:t>报价及</w:t>
      </w:r>
      <w:r>
        <w:rPr>
          <w:rFonts w:hint="eastAsia" w:ascii="仿宋" w:hAnsi="仿宋" w:eastAsia="仿宋" w:cs="仿宋"/>
          <w:sz w:val="24"/>
          <w:szCs w:val="24"/>
          <w:lang w:val="en-US" w:eastAsia="zh-CN"/>
        </w:rPr>
        <w:t>评审</w:t>
      </w:r>
      <w:r>
        <w:rPr>
          <w:rFonts w:hint="eastAsia" w:ascii="仿宋" w:hAnsi="仿宋" w:eastAsia="仿宋" w:cs="仿宋"/>
          <w:sz w:val="24"/>
          <w:szCs w:val="24"/>
        </w:rPr>
        <w:t>地点：中铝中州铝业生产管控中心</w:t>
      </w:r>
      <w:r>
        <w:rPr>
          <w:rFonts w:hint="eastAsia" w:ascii="仿宋" w:hAnsi="仿宋" w:eastAsia="仿宋" w:cs="仿宋"/>
          <w:sz w:val="24"/>
          <w:szCs w:val="24"/>
          <w:lang w:eastAsia="zh-CN"/>
        </w:rPr>
        <w:t>矿山管理科</w:t>
      </w:r>
      <w:r>
        <w:rPr>
          <w:rFonts w:hint="eastAsia" w:ascii="仿宋" w:hAnsi="仿宋" w:eastAsia="仿宋" w:cs="仿宋"/>
          <w:sz w:val="24"/>
          <w:szCs w:val="24"/>
        </w:rPr>
        <w:t>会议室</w:t>
      </w:r>
      <w:r>
        <w:rPr>
          <w:rFonts w:hint="eastAsia" w:ascii="仿宋" w:hAnsi="仿宋" w:eastAsia="仿宋" w:cs="仿宋"/>
          <w:sz w:val="24"/>
          <w:szCs w:val="24"/>
          <w:lang w:eastAsia="zh-CN"/>
        </w:rPr>
        <w:t>（中州铝业办公楼西保卫部三楼）</w:t>
      </w:r>
    </w:p>
    <w:p>
      <w:pPr>
        <w:spacing w:line="440" w:lineRule="exact"/>
        <w:rPr>
          <w:rFonts w:hint="eastAsia" w:ascii="仿宋" w:hAnsi="仿宋" w:eastAsia="仿宋" w:cs="仿宋"/>
          <w:b/>
          <w:bCs w:val="0"/>
          <w:sz w:val="28"/>
          <w:szCs w:val="28"/>
          <w:lang w:val="en-US" w:eastAsia="zh-CN"/>
        </w:rPr>
      </w:pPr>
      <w:bookmarkStart w:id="8" w:name="_Toc30303"/>
      <w:r>
        <w:rPr>
          <w:rFonts w:hint="eastAsia" w:ascii="仿宋" w:hAnsi="仿宋" w:eastAsia="仿宋" w:cs="仿宋"/>
          <w:b/>
          <w:bCs w:val="0"/>
          <w:sz w:val="28"/>
          <w:szCs w:val="28"/>
          <w:lang w:val="en-US" w:eastAsia="zh-CN"/>
        </w:rPr>
        <w:t>7发布公告的媒介</w:t>
      </w:r>
      <w:bookmarkEnd w:id="8"/>
    </w:p>
    <w:p>
      <w:pPr>
        <w:spacing w:after="0" w:afterAutospacing="0" w:line="420" w:lineRule="exact"/>
        <w:ind w:firstLine="484" w:firstLineChars="202"/>
        <w:rPr>
          <w:rFonts w:hint="eastAsia" w:ascii="仿宋" w:hAnsi="仿宋" w:eastAsia="仿宋" w:cs="仿宋"/>
          <w:sz w:val="24"/>
          <w:szCs w:val="24"/>
        </w:rPr>
      </w:pPr>
      <w:r>
        <w:rPr>
          <w:rFonts w:hint="eastAsia" w:ascii="仿宋_GB2312" w:hAnsi="Times New Roman" w:eastAsia="仿宋_GB2312" w:cs="Times New Roman"/>
          <w:bCs/>
          <w:kern w:val="2"/>
          <w:sz w:val="24"/>
          <w:szCs w:val="24"/>
          <w:highlight w:val="none"/>
          <w:lang w:val="en-US" w:eastAsia="zh-CN" w:bidi="ar-SA"/>
        </w:rPr>
        <w:t>我公司仅在中铝中州铝业有限公司（https://zzly.chinalco.com.cn/）发布有关该项目的采购信息，我公司郑重提醒各报价人注意：与该项目相关采购事宜均须与我公司指定人员联系，我公司对任何转载信息及由此产生的后果均不承担任何责任。</w:t>
      </w:r>
    </w:p>
    <w:p>
      <w:pPr>
        <w:spacing w:line="440" w:lineRule="exact"/>
        <w:rPr>
          <w:rFonts w:hint="eastAsia" w:ascii="仿宋" w:hAnsi="仿宋" w:eastAsia="仿宋" w:cs="仿宋"/>
          <w:b/>
          <w:bCs w:val="0"/>
          <w:sz w:val="28"/>
          <w:szCs w:val="28"/>
          <w:lang w:val="en-US" w:eastAsia="zh-CN"/>
        </w:rPr>
      </w:pPr>
      <w:bookmarkStart w:id="9" w:name="_Toc517804011"/>
      <w:bookmarkStart w:id="10" w:name="_Toc22632"/>
      <w:bookmarkStart w:id="11" w:name="_Toc3201947"/>
      <w:bookmarkStart w:id="12" w:name="_Toc518044997"/>
      <w:r>
        <w:rPr>
          <w:rFonts w:hint="eastAsia" w:ascii="仿宋" w:hAnsi="仿宋" w:eastAsia="仿宋" w:cs="仿宋"/>
          <w:b/>
          <w:bCs w:val="0"/>
          <w:sz w:val="28"/>
          <w:szCs w:val="28"/>
          <w:lang w:val="en-US" w:eastAsia="zh-CN"/>
        </w:rPr>
        <w:t>8联系方式</w:t>
      </w:r>
      <w:bookmarkEnd w:id="9"/>
      <w:bookmarkEnd w:id="10"/>
      <w:bookmarkEnd w:id="11"/>
      <w:bookmarkEnd w:id="12"/>
    </w:p>
    <w:p>
      <w:pPr>
        <w:spacing w:after="0" w:afterAutospacing="0" w:line="420" w:lineRule="exact"/>
        <w:ind w:firstLine="484" w:firstLineChars="202"/>
        <w:rPr>
          <w:rFonts w:hint="eastAsia" w:ascii="仿宋" w:hAnsi="仿宋" w:eastAsia="仿宋" w:cs="仿宋"/>
          <w:sz w:val="24"/>
          <w:szCs w:val="24"/>
          <w:lang w:eastAsia="zh-CN"/>
        </w:rPr>
      </w:pPr>
      <w:r>
        <w:rPr>
          <w:rFonts w:hint="eastAsia" w:ascii="仿宋" w:hAnsi="仿宋" w:eastAsia="仿宋" w:cs="仿宋"/>
          <w:sz w:val="24"/>
          <w:szCs w:val="24"/>
          <w:lang w:eastAsia="zh-CN"/>
        </w:rPr>
        <w:t>采购</w:t>
      </w:r>
      <w:r>
        <w:rPr>
          <w:rFonts w:hint="eastAsia" w:ascii="仿宋" w:hAnsi="仿宋" w:eastAsia="仿宋" w:cs="仿宋"/>
          <w:sz w:val="24"/>
          <w:szCs w:val="24"/>
        </w:rPr>
        <w:t>人：中铝中州铝业有限公司生产管控中心</w:t>
      </w:r>
    </w:p>
    <w:p>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地  址：河南省修武县七贤镇中铝中州铝业有限公司</w:t>
      </w:r>
    </w:p>
    <w:p>
      <w:pPr>
        <w:spacing w:after="0" w:afterAutospacing="0" w:line="420" w:lineRule="exact"/>
        <w:ind w:firstLine="484" w:firstLineChars="202"/>
        <w:rPr>
          <w:rFonts w:hint="eastAsia" w:ascii="仿宋" w:hAnsi="仿宋" w:eastAsia="仿宋" w:cs="仿宋"/>
          <w:sz w:val="24"/>
          <w:szCs w:val="24"/>
          <w:lang w:eastAsia="zh-CN"/>
        </w:rPr>
      </w:pPr>
      <w:r>
        <w:rPr>
          <w:rFonts w:hint="eastAsia" w:ascii="仿宋" w:hAnsi="仿宋" w:eastAsia="仿宋" w:cs="仿宋"/>
          <w:sz w:val="24"/>
          <w:szCs w:val="24"/>
        </w:rPr>
        <w:t>联系人：</w:t>
      </w:r>
      <w:r>
        <w:rPr>
          <w:rFonts w:hint="eastAsia" w:ascii="仿宋" w:hAnsi="仿宋" w:eastAsia="仿宋" w:cs="仿宋"/>
          <w:sz w:val="24"/>
          <w:szCs w:val="24"/>
          <w:lang w:eastAsia="zh-CN"/>
        </w:rPr>
        <w:t>王孝立</w:t>
      </w:r>
    </w:p>
    <w:p>
      <w:pPr>
        <w:spacing w:after="0" w:afterAutospacing="0" w:line="420" w:lineRule="exact"/>
        <w:ind w:firstLine="484" w:firstLineChars="202"/>
        <w:rPr>
          <w:rFonts w:hint="eastAsia" w:ascii="仿宋" w:hAnsi="仿宋" w:eastAsia="仿宋" w:cs="仿宋"/>
          <w:sz w:val="24"/>
          <w:szCs w:val="24"/>
          <w:lang w:val="en-US" w:eastAsia="zh-CN"/>
        </w:rPr>
      </w:pPr>
      <w:r>
        <w:rPr>
          <w:rFonts w:hint="eastAsia" w:ascii="仿宋" w:hAnsi="仿宋" w:eastAsia="仿宋" w:cs="仿宋"/>
          <w:sz w:val="24"/>
          <w:szCs w:val="24"/>
        </w:rPr>
        <w:t>电  话：</w:t>
      </w:r>
      <w:r>
        <w:rPr>
          <w:rFonts w:ascii="仿宋_GB2312" w:eastAsia="仿宋_GB2312"/>
          <w:bCs/>
          <w:sz w:val="24"/>
          <w:highlight w:val="none"/>
        </w:rPr>
        <w:t>0391-350</w:t>
      </w:r>
      <w:r>
        <w:rPr>
          <w:rFonts w:hint="eastAsia" w:ascii="仿宋_GB2312" w:eastAsia="仿宋_GB2312"/>
          <w:bCs/>
          <w:sz w:val="24"/>
          <w:highlight w:val="none"/>
          <w:lang w:val="en-US" w:eastAsia="zh-CN"/>
        </w:rPr>
        <w:t>5375</w:t>
      </w:r>
      <w:r>
        <w:rPr>
          <w:rFonts w:hint="eastAsia" w:ascii="仿宋_GB2312" w:eastAsia="仿宋_GB2312"/>
          <w:bCs/>
          <w:sz w:val="24"/>
          <w:highlight w:val="none"/>
        </w:rPr>
        <w:t xml:space="preserve">    </w:t>
      </w:r>
      <w:r>
        <w:rPr>
          <w:rFonts w:hint="eastAsia" w:ascii="仿宋_GB2312" w:eastAsia="仿宋_GB2312"/>
          <w:bCs/>
          <w:sz w:val="24"/>
          <w:highlight w:val="none"/>
          <w:lang w:val="en-US" w:eastAsia="zh-CN"/>
        </w:rPr>
        <w:t>15544395273</w:t>
      </w:r>
    </w:p>
    <w:p>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电子邮箱：</w:t>
      </w:r>
      <w:r>
        <w:rPr>
          <w:rFonts w:hint="eastAsia" w:ascii="仿宋" w:hAnsi="仿宋" w:eastAsia="仿宋" w:cs="仿宋"/>
          <w:bCs/>
          <w:sz w:val="24"/>
          <w:lang w:val="en-US" w:eastAsia="zh-CN"/>
        </w:rPr>
        <w:t>3245396774@qq.com</w:t>
      </w:r>
    </w:p>
    <w:p>
      <w:pPr>
        <w:spacing w:line="440" w:lineRule="exact"/>
        <w:rPr>
          <w:rFonts w:hint="eastAsia" w:ascii="仿宋" w:hAnsi="仿宋" w:eastAsia="仿宋" w:cs="仿宋"/>
          <w:b/>
          <w:bCs w:val="0"/>
          <w:sz w:val="28"/>
          <w:szCs w:val="28"/>
          <w:lang w:val="en-US" w:eastAsia="zh-CN"/>
        </w:rPr>
      </w:pPr>
      <w:bookmarkStart w:id="13" w:name="_Toc32084"/>
      <w:r>
        <w:rPr>
          <w:rFonts w:hint="eastAsia" w:ascii="仿宋" w:hAnsi="仿宋" w:eastAsia="仿宋" w:cs="仿宋"/>
          <w:b/>
          <w:bCs w:val="0"/>
          <w:sz w:val="28"/>
          <w:szCs w:val="28"/>
          <w:lang w:val="en-US" w:eastAsia="zh-CN"/>
        </w:rPr>
        <w:t>9购买采购文件款请按如下地址汇款</w:t>
      </w:r>
      <w:bookmarkEnd w:id="13"/>
    </w:p>
    <w:p>
      <w:pPr>
        <w:kinsoku/>
        <w:autoSpaceDE/>
        <w:autoSpaceDN/>
        <w:bidi w:val="0"/>
        <w:snapToGrid w:val="0"/>
        <w:spacing w:beforeAutospacing="0" w:after="0" w:afterAutospacing="0" w:line="440" w:lineRule="atLeast"/>
        <w:ind w:left="0" w:leftChars="0" w:firstLine="480" w:firstLineChars="200"/>
        <w:textAlignment w:val="baseline"/>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汇款信息如下：</w:t>
      </w:r>
    </w:p>
    <w:p>
      <w:pPr>
        <w:tabs>
          <w:tab w:val="left" w:pos="540"/>
        </w:tabs>
        <w:kinsoku/>
        <w:autoSpaceDE/>
        <w:autoSpaceDN/>
        <w:bidi w:val="0"/>
        <w:snapToGrid w:val="0"/>
        <w:spacing w:beforeAutospacing="0" w:after="0" w:afterAutospacing="0" w:line="440" w:lineRule="atLeast"/>
        <w:ind w:left="0" w:leftChars="0" w:firstLine="480" w:firstLineChars="200"/>
        <w:textAlignment w:val="baseline"/>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开户名称：中铝中州</w:t>
      </w:r>
      <w:r>
        <w:rPr>
          <w:rFonts w:hint="eastAsia" w:ascii="仿宋_GB2312" w:hAnsi="仿宋_GB2312" w:eastAsia="仿宋_GB2312" w:cs="仿宋_GB2312"/>
          <w:color w:val="auto"/>
          <w:sz w:val="24"/>
          <w:highlight w:val="none"/>
          <w:lang w:eastAsia="zh-CN"/>
        </w:rPr>
        <w:t>铝</w:t>
      </w:r>
      <w:r>
        <w:rPr>
          <w:rFonts w:hint="eastAsia" w:ascii="仿宋_GB2312" w:hAnsi="仿宋_GB2312" w:eastAsia="仿宋_GB2312" w:cs="仿宋_GB2312"/>
          <w:color w:val="auto"/>
          <w:sz w:val="24"/>
          <w:highlight w:val="none"/>
        </w:rPr>
        <w:t>业有限公司</w:t>
      </w:r>
    </w:p>
    <w:p>
      <w:pPr>
        <w:tabs>
          <w:tab w:val="left" w:pos="540"/>
        </w:tabs>
        <w:kinsoku/>
        <w:autoSpaceDE/>
        <w:autoSpaceDN/>
        <w:bidi w:val="0"/>
        <w:snapToGrid w:val="0"/>
        <w:spacing w:beforeAutospacing="0" w:after="0" w:afterAutospacing="0" w:line="440" w:lineRule="atLeast"/>
        <w:ind w:left="0" w:leftChars="0" w:firstLine="480" w:firstLineChars="200"/>
        <w:textAlignment w:val="baseline"/>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开户行：中国工商银行焦作分行中铝支行</w:t>
      </w:r>
    </w:p>
    <w:p>
      <w:pPr>
        <w:tabs>
          <w:tab w:val="left" w:pos="540"/>
        </w:tabs>
        <w:kinsoku/>
        <w:autoSpaceDE/>
        <w:autoSpaceDN/>
        <w:bidi w:val="0"/>
        <w:snapToGrid w:val="0"/>
        <w:spacing w:beforeAutospacing="0" w:after="0" w:afterAutospacing="0" w:line="440" w:lineRule="atLeast"/>
        <w:ind w:left="0" w:leftChars="0" w:firstLine="480" w:firstLineChars="200"/>
        <w:textAlignment w:val="baseline"/>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银行账号：1709028019200089451</w:t>
      </w:r>
    </w:p>
    <w:p>
      <w:pPr>
        <w:spacing w:line="440" w:lineRule="exac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汇款备注中，须注明“</w:t>
      </w:r>
      <w:r>
        <w:rPr>
          <w:rFonts w:hint="eastAsia" w:ascii="仿宋_GB2312" w:hAnsi="仿宋_GB2312" w:eastAsia="仿宋_GB2312" w:cs="仿宋_GB2312"/>
          <w:color w:val="auto"/>
          <w:sz w:val="24"/>
          <w:highlight w:val="none"/>
          <w:lang w:val="en-US" w:eastAsia="zh-CN"/>
        </w:rPr>
        <w:t>中铝中州铝业有限公司冯营石灰石矿地质环境与土地监测项目</w:t>
      </w:r>
      <w:r>
        <w:rPr>
          <w:rFonts w:hint="eastAsia" w:ascii="仿宋_GB2312" w:hAnsi="仿宋_GB2312" w:eastAsia="仿宋_GB2312" w:cs="仿宋_GB2312"/>
          <w:color w:val="auto"/>
          <w:sz w:val="24"/>
          <w:highlight w:val="none"/>
        </w:rPr>
        <w:t>采购文件费”</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中铝中州铝业有限公司冯营石灰石矿地质环境与土地监测项目</w:t>
      </w:r>
      <w:r>
        <w:rPr>
          <w:rFonts w:hint="eastAsia" w:ascii="仿宋_GB2312" w:hAnsi="仿宋_GB2312" w:eastAsia="仿宋_GB2312" w:cs="仿宋_GB2312"/>
          <w:color w:val="auto"/>
          <w:sz w:val="24"/>
          <w:highlight w:val="none"/>
        </w:rPr>
        <w:t>报价保证金”</w:t>
      </w:r>
      <w:r>
        <w:rPr>
          <w:rFonts w:hint="eastAsia" w:ascii="仿宋_GB2312" w:hAnsi="仿宋_GB2312" w:eastAsia="仿宋_GB2312" w:cs="仿宋_GB2312"/>
          <w:color w:val="auto"/>
          <w:sz w:val="24"/>
          <w:highlight w:val="none"/>
          <w:lang w:eastAsia="zh-CN"/>
        </w:rPr>
        <w:t>。</w:t>
      </w:r>
    </w:p>
    <w:p>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10监督部门：纪检监察部 （审计部）</w:t>
      </w:r>
    </w:p>
    <w:p>
      <w:pPr>
        <w:kinsoku/>
        <w:autoSpaceDE/>
        <w:autoSpaceDN/>
        <w:bidi w:val="0"/>
        <w:spacing w:beforeAutospacing="0" w:after="0" w:afterAutospacing="0" w:line="440" w:lineRule="atLeast"/>
        <w:ind w:left="0" w:leftChars="0" w:firstLine="480" w:firstLineChars="200"/>
        <w:rPr>
          <w:rFonts w:hint="eastAsia" w:ascii="仿宋_GB2312" w:eastAsia="仿宋_GB2312"/>
          <w:bCs/>
          <w:color w:val="000000"/>
          <w:sz w:val="24"/>
        </w:rPr>
      </w:pPr>
      <w:r>
        <w:rPr>
          <w:rFonts w:hint="eastAsia" w:ascii="仿宋_GB2312" w:eastAsia="仿宋_GB2312"/>
          <w:bCs/>
          <w:color w:val="000000"/>
          <w:sz w:val="24"/>
        </w:rPr>
        <w:t>中铝中州铝业有限公司纪委工作部（审计部）</w:t>
      </w:r>
    </w:p>
    <w:p>
      <w:pPr>
        <w:pStyle w:val="2"/>
        <w:kinsoku/>
        <w:autoSpaceDE/>
        <w:autoSpaceDN/>
        <w:bidi w:val="0"/>
        <w:spacing w:beforeAutospacing="0" w:after="0" w:afterAutospacing="0" w:line="440" w:lineRule="atLeast"/>
        <w:ind w:left="0" w:leftChars="0" w:firstLine="480" w:firstLineChars="200"/>
        <w:rPr>
          <w:rFonts w:hint="eastAsia" w:ascii="仿宋_GB2312" w:eastAsia="仿宋_GB2312" w:cs="Times New Roman"/>
          <w:bCs/>
          <w:color w:val="000000"/>
          <w:sz w:val="24"/>
        </w:rPr>
      </w:pPr>
      <w:r>
        <w:rPr>
          <w:rFonts w:hint="eastAsia" w:ascii="仿宋_GB2312" w:eastAsia="仿宋_GB2312" w:cs="Times New Roman"/>
          <w:bCs/>
          <w:color w:val="000000"/>
          <w:sz w:val="24"/>
        </w:rPr>
        <w:t>中铝中州铝业有限公司：0391-3503580</w:t>
      </w:r>
    </w:p>
    <w:p>
      <w:pPr>
        <w:pStyle w:val="2"/>
        <w:kinsoku/>
        <w:autoSpaceDE/>
        <w:autoSpaceDN/>
        <w:bidi w:val="0"/>
        <w:spacing w:beforeAutospacing="0" w:after="0" w:afterAutospacing="0" w:line="440" w:lineRule="atLeast"/>
        <w:ind w:left="0" w:leftChars="0" w:firstLine="480" w:firstLineChars="200"/>
        <w:rPr>
          <w:rFonts w:hint="eastAsia" w:ascii="仿宋_GB2312" w:eastAsia="仿宋_GB2312" w:cs="Times New Roman"/>
          <w:bCs/>
          <w:color w:val="000000"/>
          <w:sz w:val="24"/>
        </w:rPr>
      </w:pPr>
      <w:r>
        <w:rPr>
          <w:rFonts w:hint="eastAsia" w:ascii="仿宋_GB2312" w:eastAsia="仿宋_GB2312" w:cs="Times New Roman"/>
          <w:bCs/>
          <w:color w:val="000000"/>
          <w:sz w:val="24"/>
        </w:rPr>
        <w:t>中国铝业股份有限公司：010-82298446</w:t>
      </w:r>
    </w:p>
    <w:p>
      <w:pPr>
        <w:pStyle w:val="2"/>
        <w:kinsoku/>
        <w:autoSpaceDE/>
        <w:autoSpaceDN/>
        <w:bidi w:val="0"/>
        <w:spacing w:beforeAutospacing="0" w:after="0" w:afterAutospacing="0" w:line="440" w:lineRule="atLeast"/>
        <w:ind w:left="0" w:leftChars="0" w:firstLine="480" w:firstLineChars="200"/>
        <w:rPr>
          <w:rFonts w:hint="eastAsia" w:ascii="仿宋_GB2312" w:eastAsia="仿宋_GB2312" w:cs="Times New Roman"/>
          <w:bCs/>
          <w:color w:val="000000"/>
          <w:sz w:val="24"/>
        </w:rPr>
      </w:pPr>
      <w:r>
        <w:rPr>
          <w:rFonts w:hint="eastAsia" w:ascii="仿宋_GB2312" w:eastAsia="仿宋_GB2312" w:cs="Times New Roman"/>
          <w:bCs/>
          <w:color w:val="000000"/>
          <w:sz w:val="24"/>
        </w:rPr>
        <w:t>中国铝业集团有限公司：010-82298683</w:t>
      </w:r>
    </w:p>
    <w:p>
      <w:pPr>
        <w:pStyle w:val="2"/>
        <w:kinsoku/>
        <w:autoSpaceDE/>
        <w:autoSpaceDN/>
        <w:bidi w:val="0"/>
        <w:spacing w:beforeAutospacing="0" w:after="0" w:afterAutospacing="0" w:line="440" w:lineRule="atLeast"/>
        <w:ind w:left="0" w:leftChars="0" w:firstLine="480" w:firstLineChars="200"/>
        <w:rPr>
          <w:rFonts w:hint="eastAsia" w:ascii="仿宋" w:hAnsi="仿宋" w:eastAsia="仿宋" w:cs="仿宋"/>
          <w:color w:val="auto"/>
        </w:rPr>
      </w:pPr>
      <w:r>
        <w:rPr>
          <w:rFonts w:hint="eastAsia" w:ascii="仿宋_GB2312" w:eastAsia="仿宋_GB2312" w:cs="Times New Roman"/>
          <w:bCs/>
          <w:color w:val="000000"/>
          <w:sz w:val="24"/>
        </w:rPr>
        <w:t>邮箱：zzlyjw02@126.com</w:t>
      </w:r>
    </w:p>
    <w:p>
      <w:pPr>
        <w:spacing w:after="0" w:afterAutospacing="0" w:line="420" w:lineRule="exact"/>
        <w:ind w:firstLine="484" w:firstLineChars="202"/>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MjIyMzMyMTlkNDAxNTY2NmYwY2YyZjk4N2FhNDQifQ=="/>
  </w:docVars>
  <w:rsids>
    <w:rsidRoot w:val="00000000"/>
    <w:rsid w:val="13F63820"/>
    <w:rsid w:val="142859FB"/>
    <w:rsid w:val="1464310E"/>
    <w:rsid w:val="190C7CE1"/>
    <w:rsid w:val="248069B0"/>
    <w:rsid w:val="24B13AD7"/>
    <w:rsid w:val="28A714A1"/>
    <w:rsid w:val="2C136339"/>
    <w:rsid w:val="2C43774A"/>
    <w:rsid w:val="2D1D4C6D"/>
    <w:rsid w:val="31D8306E"/>
    <w:rsid w:val="346902C6"/>
    <w:rsid w:val="35102E7B"/>
    <w:rsid w:val="370E174E"/>
    <w:rsid w:val="384D48EA"/>
    <w:rsid w:val="38F73281"/>
    <w:rsid w:val="3E0E49C6"/>
    <w:rsid w:val="411C2913"/>
    <w:rsid w:val="42503017"/>
    <w:rsid w:val="44332C7D"/>
    <w:rsid w:val="446724B7"/>
    <w:rsid w:val="45C368D4"/>
    <w:rsid w:val="46CE4098"/>
    <w:rsid w:val="4B4843E2"/>
    <w:rsid w:val="5376400E"/>
    <w:rsid w:val="550A42E0"/>
    <w:rsid w:val="55C46256"/>
    <w:rsid w:val="571748E3"/>
    <w:rsid w:val="58C24893"/>
    <w:rsid w:val="59395101"/>
    <w:rsid w:val="5B5434A8"/>
    <w:rsid w:val="5C0F4FE4"/>
    <w:rsid w:val="62272952"/>
    <w:rsid w:val="64D50E4D"/>
    <w:rsid w:val="652D5C58"/>
    <w:rsid w:val="65D0673C"/>
    <w:rsid w:val="65DC4ACB"/>
    <w:rsid w:val="662D3262"/>
    <w:rsid w:val="66CD3A0C"/>
    <w:rsid w:val="6BAD0EBB"/>
    <w:rsid w:val="6EA07640"/>
    <w:rsid w:val="6EC711C7"/>
    <w:rsid w:val="6EFB29F9"/>
    <w:rsid w:val="6F273B31"/>
    <w:rsid w:val="707814EF"/>
    <w:rsid w:val="71ED7056"/>
    <w:rsid w:val="73DD17AE"/>
    <w:rsid w:val="77720653"/>
    <w:rsid w:val="77E572A5"/>
    <w:rsid w:val="7A22256E"/>
    <w:rsid w:val="7A2A7DCB"/>
    <w:rsid w:val="7F062761"/>
    <w:rsid w:val="7F0B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spacing w:line="360" w:lineRule="auto"/>
      <w:jc w:val="center"/>
      <w:outlineLvl w:val="0"/>
    </w:pPr>
    <w:rPr>
      <w:rFonts w:ascii="黑体" w:hAnsi="宋体" w:eastAsia="黑体"/>
      <w:kern w:val="44"/>
      <w:sz w:val="30"/>
      <w:szCs w:val="44"/>
    </w:rPr>
  </w:style>
  <w:style w:type="paragraph" w:styleId="5">
    <w:name w:val="heading 2"/>
    <w:basedOn w:val="1"/>
    <w:next w:val="1"/>
    <w:autoRedefine/>
    <w:qFormat/>
    <w:uiPriority w:val="0"/>
    <w:pPr>
      <w:keepNext/>
      <w:keepLines/>
      <w:tabs>
        <w:tab w:val="left" w:pos="0"/>
      </w:tabs>
      <w:suppressAutoHyphens/>
      <w:spacing w:before="260" w:after="260" w:line="408" w:lineRule="auto"/>
      <w:ind w:left="576" w:hanging="576"/>
      <w:outlineLvl w:val="1"/>
    </w:pPr>
    <w:rPr>
      <w:rFonts w:ascii="Arial" w:hAnsi="Arial" w:eastAsia="黑体"/>
      <w:b/>
      <w:bCs/>
      <w:sz w:val="32"/>
      <w:szCs w:val="32"/>
      <w:lang w:eastAsia="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widowControl w:val="0"/>
      <w:spacing w:after="120"/>
      <w:ind w:firstLine="420" w:firstLineChars="100"/>
      <w:jc w:val="both"/>
    </w:pPr>
    <w:rPr>
      <w:kern w:val="2"/>
      <w:sz w:val="21"/>
      <w:szCs w:val="24"/>
      <w:lang w:val="en-US" w:eastAsia="zh-CN" w:bidi="ar-SA"/>
    </w:rPr>
  </w:style>
  <w:style w:type="paragraph" w:styleId="3">
    <w:name w:val="Body Text"/>
    <w:basedOn w:val="1"/>
    <w:next w:val="1"/>
    <w:autoRedefine/>
    <w:qFormat/>
    <w:uiPriority w:val="0"/>
    <w:pPr>
      <w:spacing w:after="120"/>
    </w:pPr>
  </w:style>
  <w:style w:type="paragraph" w:styleId="6">
    <w:name w:val="Normal Indent"/>
    <w:basedOn w:val="1"/>
    <w:autoRedefine/>
    <w:qFormat/>
    <w:uiPriority w:val="0"/>
    <w:pPr>
      <w:spacing w:line="360" w:lineRule="auto"/>
      <w:ind w:firstLine="200" w:firstLineChars="200"/>
    </w:pPr>
    <w:rPr>
      <w:rFonts w:ascii="宋体" w:hAnsi="宋体"/>
      <w:sz w:val="24"/>
      <w:szCs w:val="20"/>
    </w:rPr>
  </w:style>
  <w:style w:type="paragraph" w:styleId="7">
    <w:name w:val="annotation text"/>
    <w:basedOn w:val="1"/>
    <w:autoRedefine/>
    <w:qFormat/>
    <w:uiPriority w:val="0"/>
    <w:pPr>
      <w:jc w:val="left"/>
    </w:pPr>
    <w:rPr>
      <w:rFonts w:ascii="Calibri" w:hAnsi="Calibri" w:eastAsia="宋体" w:cs="Times New Roman"/>
    </w:rPr>
  </w:style>
  <w:style w:type="paragraph" w:styleId="8">
    <w:name w:val="Body Text Indent"/>
    <w:basedOn w:val="1"/>
    <w:next w:val="6"/>
    <w:autoRedefine/>
    <w:qFormat/>
    <w:uiPriority w:val="0"/>
    <w:pPr>
      <w:widowControl/>
      <w:spacing w:after="120" w:afterAutospacing="0"/>
      <w:ind w:left="420" w:leftChars="200"/>
      <w:jc w:val="left"/>
    </w:pPr>
    <w:rPr>
      <w:kern w:val="0"/>
      <w:sz w:val="20"/>
      <w:szCs w:val="20"/>
      <w:lang w:val="en-GB" w:eastAsia="en-US"/>
    </w:rPr>
  </w:style>
  <w:style w:type="paragraph" w:styleId="9">
    <w:name w:val="Body Text First Indent 2"/>
    <w:basedOn w:val="8"/>
    <w:autoRedefine/>
    <w:unhideWhenUsed/>
    <w:qFormat/>
    <w:uiPriority w:val="99"/>
    <w:pPr>
      <w:spacing w:before="100" w:beforeAutospacing="1"/>
      <w:ind w:left="200" w:firstLine="420"/>
    </w:pPr>
  </w:style>
  <w:style w:type="character" w:customStyle="1" w:styleId="12">
    <w:name w:val="font12"/>
    <w:basedOn w:val="11"/>
    <w:autoRedefine/>
    <w:qFormat/>
    <w:uiPriority w:val="0"/>
    <w:rPr>
      <w:rFonts w:hint="eastAsia" w:ascii="仿宋" w:hAnsi="仿宋" w:eastAsia="仿宋" w:cs="仿宋"/>
      <w:b/>
      <w:bCs/>
      <w:color w:val="000000"/>
      <w:sz w:val="24"/>
      <w:szCs w:val="24"/>
      <w:u w:val="none"/>
    </w:rPr>
  </w:style>
  <w:style w:type="character" w:customStyle="1" w:styleId="13">
    <w:name w:val="font111"/>
    <w:basedOn w:val="11"/>
    <w:autoRedefine/>
    <w:qFormat/>
    <w:uiPriority w:val="0"/>
    <w:rPr>
      <w:rFonts w:hint="eastAsia" w:ascii="宋体" w:hAnsi="宋体" w:eastAsia="宋体" w:cs="宋体"/>
      <w:color w:val="000000"/>
      <w:sz w:val="22"/>
      <w:szCs w:val="22"/>
      <w:u w:val="none"/>
    </w:rPr>
  </w:style>
  <w:style w:type="character" w:customStyle="1" w:styleId="14">
    <w:name w:val="font122"/>
    <w:basedOn w:val="11"/>
    <w:autoRedefine/>
    <w:qFormat/>
    <w:uiPriority w:val="0"/>
    <w:rPr>
      <w:rFonts w:hint="eastAsia" w:ascii="仿宋" w:hAnsi="仿宋" w:eastAsia="仿宋" w:cs="仿宋"/>
      <w:color w:val="000000"/>
      <w:sz w:val="24"/>
      <w:szCs w:val="24"/>
      <w:u w:val="none"/>
    </w:rPr>
  </w:style>
  <w:style w:type="character" w:customStyle="1" w:styleId="15">
    <w:name w:val="font221"/>
    <w:basedOn w:val="11"/>
    <w:autoRedefine/>
    <w:qFormat/>
    <w:uiPriority w:val="0"/>
    <w:rPr>
      <w:rFonts w:hint="eastAsia" w:ascii="仿宋" w:hAnsi="仿宋" w:eastAsia="仿宋" w:cs="仿宋"/>
      <w:color w:val="000000"/>
      <w:sz w:val="20"/>
      <w:szCs w:val="20"/>
      <w:u w:val="none"/>
      <w:vertAlign w:val="sub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1727</Words>
  <Characters>2020</Characters>
  <Lines>0</Lines>
  <Paragraphs>0</Paragraphs>
  <TotalTime>0</TotalTime>
  <ScaleCrop>false</ScaleCrop>
  <LinksUpToDate>false</LinksUpToDate>
  <CharactersWithSpaces>2048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2023-06-16T02:53:00Z</dcterms:created>
  <dc:creator>Administrator</dc:creator>
  <cp:lastModifiedBy>灵灵</cp:lastModifiedBy>
  <dcterms:modified xsi:type="dcterms:W3CDTF">2024-06-22T04:19:14Z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E2998739EB744DF798B4578CEF13DF38_13</vt:lpwstr>
  </property>
</Properties>
</file>