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outlineLvl w:val="0"/>
        <w:rPr>
          <w:rFonts w:ascii="宋体" w:hAnsi="宋体" w:eastAsia="宋体" w:cs="Times New Roman"/>
          <w:b/>
          <w:bCs w:val="0"/>
          <w:color w:val="000000"/>
          <w:sz w:val="32"/>
          <w:szCs w:val="32"/>
        </w:rPr>
      </w:pPr>
      <w:bookmarkStart w:id="0" w:name="_Toc11799"/>
      <w:bookmarkStart w:id="1" w:name="_Toc19899"/>
      <w:bookmarkStart w:id="2" w:name="_Toc6406"/>
      <w:bookmarkStart w:id="3" w:name="_Toc14067"/>
      <w:r>
        <w:rPr>
          <w:rFonts w:hint="eastAsia" w:ascii="宋体" w:hAnsi="宋体" w:eastAsia="宋体" w:cs="Times New Roman"/>
          <w:b/>
          <w:bCs w:val="0"/>
          <w:color w:val="000000"/>
          <w:sz w:val="32"/>
          <w:szCs w:val="32"/>
          <w:lang w:val="en-US" w:eastAsia="zh-CN"/>
        </w:rPr>
        <w:t>冯营石灰石矿收尘改造项目可研</w:t>
      </w:r>
      <w:r>
        <w:rPr>
          <w:rFonts w:hint="eastAsia" w:ascii="宋体" w:hAnsi="宋体" w:eastAsia="宋体" w:cs="Times New Roman"/>
          <w:b/>
          <w:bCs w:val="0"/>
          <w:color w:val="000000"/>
          <w:sz w:val="32"/>
          <w:szCs w:val="32"/>
        </w:rPr>
        <w:t>采购公告</w:t>
      </w:r>
      <w:bookmarkEnd w:id="0"/>
      <w:bookmarkEnd w:id="1"/>
      <w:bookmarkEnd w:id="2"/>
      <w:bookmarkEnd w:id="3"/>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zh-CN" w:bidi="ar-SA"/>
        </w:rPr>
      </w:pPr>
      <w:bookmarkStart w:id="4" w:name="_Toc528139655"/>
      <w:bookmarkStart w:id="5" w:name="_Toc517804003"/>
      <w:bookmarkStart w:id="6" w:name="_Toc1802"/>
      <w:bookmarkStart w:id="7" w:name="_Toc1404"/>
      <w:bookmarkStart w:id="8" w:name="_Toc25904"/>
      <w:bookmarkStart w:id="9" w:name="_Toc6545"/>
      <w:r>
        <w:rPr>
          <w:rFonts w:hint="eastAsia" w:ascii="仿宋" w:hAnsi="仿宋" w:eastAsia="仿宋" w:cs="仿宋"/>
          <w:b/>
          <w:bCs w:val="0"/>
          <w:color w:val="000000"/>
          <w:kern w:val="2"/>
          <w:sz w:val="28"/>
          <w:szCs w:val="28"/>
          <w:lang w:val="en-US" w:eastAsia="zh-CN" w:bidi="ar-SA"/>
        </w:rPr>
        <w:t>采购</w:t>
      </w:r>
      <w:r>
        <w:rPr>
          <w:rFonts w:hint="eastAsia" w:ascii="仿宋" w:hAnsi="仿宋" w:eastAsia="仿宋" w:cs="仿宋"/>
          <w:b/>
          <w:bCs w:val="0"/>
          <w:color w:val="000000"/>
          <w:kern w:val="2"/>
          <w:sz w:val="28"/>
          <w:szCs w:val="28"/>
          <w:lang w:val="en-US" w:eastAsia="ar-SA" w:bidi="ar-SA"/>
        </w:rPr>
        <w:t>编号：</w:t>
      </w:r>
      <w:bookmarkEnd w:id="4"/>
      <w:bookmarkEnd w:id="5"/>
      <w:bookmarkEnd w:id="6"/>
      <w:bookmarkEnd w:id="7"/>
      <w:bookmarkEnd w:id="8"/>
      <w:bookmarkEnd w:id="9"/>
      <w:r>
        <w:rPr>
          <w:rFonts w:hint="eastAsia" w:ascii="仿宋" w:hAnsi="仿宋" w:eastAsia="仿宋" w:cs="仿宋"/>
          <w:b/>
          <w:bCs w:val="0"/>
          <w:color w:val="000000"/>
          <w:kern w:val="2"/>
          <w:sz w:val="28"/>
          <w:szCs w:val="28"/>
          <w:highlight w:val="yellow"/>
          <w:lang w:val="en-US" w:eastAsia="zh-CN" w:bidi="ar-SA"/>
        </w:rPr>
        <w:t>CG-ZZ-202410-TZB-TZK-043</w:t>
      </w:r>
      <w:bookmarkStart w:id="58" w:name="_GoBack"/>
      <w:bookmarkEnd w:id="58"/>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10" w:name="_Toc8892"/>
      <w:bookmarkStart w:id="11" w:name="_Toc528139656"/>
      <w:bookmarkStart w:id="12" w:name="_Toc13565"/>
      <w:bookmarkStart w:id="13" w:name="_Toc517804004"/>
      <w:bookmarkStart w:id="14" w:name="_Toc22201"/>
      <w:bookmarkStart w:id="15" w:name="_Toc16976"/>
      <w:r>
        <w:rPr>
          <w:rFonts w:hint="eastAsia" w:ascii="仿宋" w:hAnsi="仿宋" w:eastAsia="仿宋" w:cs="仿宋"/>
          <w:b/>
          <w:bCs w:val="0"/>
          <w:color w:val="000000"/>
          <w:kern w:val="2"/>
          <w:sz w:val="28"/>
          <w:szCs w:val="28"/>
          <w:lang w:val="en-US" w:eastAsia="ar-SA" w:bidi="ar-SA"/>
        </w:rPr>
        <w:t>1.</w:t>
      </w:r>
      <w:r>
        <w:rPr>
          <w:rFonts w:hint="eastAsia" w:ascii="仿宋" w:hAnsi="仿宋" w:eastAsia="仿宋" w:cs="仿宋"/>
          <w:b/>
          <w:bCs w:val="0"/>
          <w:color w:val="000000"/>
          <w:kern w:val="2"/>
          <w:sz w:val="28"/>
          <w:szCs w:val="28"/>
          <w:lang w:val="en-US" w:eastAsia="zh-CN" w:bidi="ar-SA"/>
        </w:rPr>
        <w:t>采购</w:t>
      </w:r>
      <w:r>
        <w:rPr>
          <w:rFonts w:hint="eastAsia" w:ascii="仿宋" w:hAnsi="仿宋" w:eastAsia="仿宋" w:cs="仿宋"/>
          <w:b/>
          <w:bCs w:val="0"/>
          <w:color w:val="000000"/>
          <w:kern w:val="2"/>
          <w:sz w:val="28"/>
          <w:szCs w:val="28"/>
          <w:lang w:val="en-US" w:eastAsia="ar-SA" w:bidi="ar-SA"/>
        </w:rPr>
        <w:t>条件</w:t>
      </w:r>
      <w:bookmarkEnd w:id="10"/>
      <w:bookmarkEnd w:id="11"/>
      <w:bookmarkEnd w:id="12"/>
      <w:bookmarkEnd w:id="13"/>
      <w:bookmarkEnd w:id="14"/>
      <w:bookmarkEnd w:id="15"/>
    </w:p>
    <w:p>
      <w:pPr>
        <w:spacing w:line="360" w:lineRule="auto"/>
        <w:ind w:firstLine="480" w:firstLineChars="0"/>
        <w:rPr>
          <w:rFonts w:ascii="宋体" w:hAnsi="宋体" w:eastAsia="宋体" w:cs="宋体"/>
          <w:color w:val="000000"/>
          <w:sz w:val="24"/>
        </w:rPr>
      </w:pPr>
      <w:r>
        <w:rPr>
          <w:rFonts w:hint="eastAsia" w:ascii="宋体" w:hAnsi="宋体" w:eastAsia="宋体" w:cs="宋体"/>
          <w:color w:val="000000"/>
          <w:sz w:val="24"/>
          <w:u w:val="single"/>
          <w:lang w:val="en-US" w:eastAsia="zh-CN"/>
        </w:rPr>
        <w:t>中铝中州铝业有限公司冯营石灰石矿收尘改造项目可研报告</w:t>
      </w:r>
      <w:r>
        <w:rPr>
          <w:rFonts w:hint="eastAsia" w:ascii="宋体" w:hAnsi="宋体" w:eastAsia="宋体" w:cs="宋体"/>
          <w:color w:val="000000"/>
          <w:sz w:val="24"/>
        </w:rPr>
        <w:t>已具备采购条件，</w:t>
      </w:r>
      <w:r>
        <w:rPr>
          <w:rFonts w:hint="eastAsia" w:ascii="宋体" w:hAnsi="宋体" w:eastAsia="宋体" w:cs="仿宋"/>
          <w:color w:val="000000"/>
          <w:sz w:val="24"/>
        </w:rPr>
        <w:t>建设资金自筹且已落实</w:t>
      </w:r>
      <w:r>
        <w:rPr>
          <w:rFonts w:hint="eastAsia" w:ascii="宋体" w:hAnsi="宋体" w:eastAsia="宋体" w:cs="宋体"/>
          <w:color w:val="000000"/>
          <w:sz w:val="24"/>
        </w:rPr>
        <w:t>。采购人为中铝中州</w:t>
      </w:r>
      <w:r>
        <w:rPr>
          <w:rFonts w:hint="eastAsia" w:ascii="宋体" w:hAnsi="宋体" w:eastAsia="宋体" w:cs="宋体"/>
          <w:color w:val="000000"/>
          <w:sz w:val="24"/>
          <w:lang w:val="en-US" w:eastAsia="zh-CN"/>
        </w:rPr>
        <w:t>铝业</w:t>
      </w:r>
      <w:r>
        <w:rPr>
          <w:rFonts w:hint="eastAsia" w:ascii="宋体" w:hAnsi="宋体" w:eastAsia="宋体" w:cs="宋体"/>
          <w:color w:val="000000"/>
          <w:sz w:val="24"/>
        </w:rPr>
        <w:t>有限公司</w:t>
      </w:r>
      <w:r>
        <w:rPr>
          <w:rFonts w:hint="eastAsia" w:ascii="宋体" w:hAnsi="宋体" w:eastAsia="宋体" w:cs="宋体"/>
          <w:color w:val="000000"/>
          <w:sz w:val="24"/>
          <w:lang w:eastAsia="zh-CN"/>
        </w:rPr>
        <w:t>，</w:t>
      </w:r>
      <w:r>
        <w:rPr>
          <w:rFonts w:hint="eastAsia" w:ascii="宋体" w:hAnsi="宋体" w:eastAsia="宋体" w:cs="宋体"/>
          <w:color w:val="000000"/>
          <w:sz w:val="24"/>
        </w:rPr>
        <w:t>现对该项目进行</w:t>
      </w:r>
      <w:r>
        <w:rPr>
          <w:rFonts w:hint="eastAsia" w:ascii="宋体" w:hAnsi="宋体" w:eastAsia="宋体" w:cs="宋体"/>
          <w:color w:val="000000"/>
          <w:sz w:val="24"/>
          <w:lang w:val="en-US" w:eastAsia="zh-CN"/>
        </w:rPr>
        <w:t>公开询比</w:t>
      </w:r>
      <w:r>
        <w:rPr>
          <w:rFonts w:hint="eastAsia" w:ascii="宋体" w:hAnsi="宋体" w:eastAsia="宋体" w:cs="宋体"/>
          <w:color w:val="000000"/>
          <w:sz w:val="24"/>
        </w:rPr>
        <w:t>采购。</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16" w:name="_Toc517804005"/>
      <w:bookmarkStart w:id="17" w:name="_Toc25699"/>
      <w:bookmarkStart w:id="18" w:name="_Toc30759"/>
      <w:bookmarkStart w:id="19" w:name="_Toc13827"/>
      <w:bookmarkStart w:id="20" w:name="_Toc528139657"/>
      <w:bookmarkStart w:id="21" w:name="_Toc8445"/>
      <w:r>
        <w:rPr>
          <w:rFonts w:hint="eastAsia" w:ascii="仿宋" w:hAnsi="仿宋" w:eastAsia="仿宋" w:cs="仿宋"/>
          <w:b/>
          <w:bCs w:val="0"/>
          <w:color w:val="000000"/>
          <w:kern w:val="2"/>
          <w:sz w:val="28"/>
          <w:szCs w:val="28"/>
          <w:lang w:val="en-US" w:eastAsia="ar-SA" w:bidi="ar-SA"/>
        </w:rPr>
        <w:t>2.项目概况及</w:t>
      </w:r>
      <w:r>
        <w:rPr>
          <w:rFonts w:hint="eastAsia" w:ascii="仿宋" w:hAnsi="仿宋" w:eastAsia="仿宋" w:cs="仿宋"/>
          <w:b/>
          <w:bCs w:val="0"/>
          <w:color w:val="000000"/>
          <w:kern w:val="2"/>
          <w:sz w:val="28"/>
          <w:szCs w:val="28"/>
          <w:lang w:val="en-US" w:eastAsia="zh-CN" w:bidi="ar-SA"/>
        </w:rPr>
        <w:t>采购</w:t>
      </w:r>
      <w:r>
        <w:rPr>
          <w:rFonts w:hint="eastAsia" w:ascii="仿宋" w:hAnsi="仿宋" w:eastAsia="仿宋" w:cs="仿宋"/>
          <w:b/>
          <w:bCs w:val="0"/>
          <w:color w:val="000000"/>
          <w:kern w:val="2"/>
          <w:sz w:val="28"/>
          <w:szCs w:val="28"/>
          <w:lang w:val="en-US" w:eastAsia="ar-SA" w:bidi="ar-SA"/>
        </w:rPr>
        <w:t>范围</w:t>
      </w:r>
      <w:bookmarkEnd w:id="16"/>
      <w:bookmarkEnd w:id="17"/>
      <w:bookmarkEnd w:id="18"/>
      <w:bookmarkEnd w:id="19"/>
      <w:bookmarkEnd w:id="20"/>
      <w:bookmarkEnd w:id="21"/>
    </w:p>
    <w:p>
      <w:pPr>
        <w:spacing w:line="360" w:lineRule="auto"/>
        <w:ind w:firstLine="480" w:firstLineChars="0"/>
        <w:rPr>
          <w:rFonts w:ascii="宋体" w:hAnsi="宋体" w:eastAsia="宋体" w:cs="宋体"/>
          <w:color w:val="000000"/>
          <w:sz w:val="24"/>
        </w:rPr>
      </w:pPr>
      <w:r>
        <w:rPr>
          <w:rFonts w:hint="eastAsia" w:ascii="宋体" w:hAnsi="宋体" w:eastAsia="宋体" w:cs="宋体"/>
          <w:color w:val="000000"/>
          <w:sz w:val="24"/>
        </w:rPr>
        <w:t>2.1项目名称：</w:t>
      </w:r>
      <w:r>
        <w:rPr>
          <w:rFonts w:hint="eastAsia" w:ascii="宋体" w:hAnsi="宋体" w:eastAsia="宋体" w:cs="宋体"/>
          <w:color w:val="000000"/>
          <w:sz w:val="24"/>
          <w:u w:val="single"/>
          <w:lang w:val="en-US" w:eastAsia="zh-CN"/>
        </w:rPr>
        <w:t>冯营石灰石矿收尘改造项目可研报告</w:t>
      </w:r>
    </w:p>
    <w:p>
      <w:pPr>
        <w:spacing w:line="360" w:lineRule="auto"/>
        <w:ind w:firstLine="480" w:firstLineChars="0"/>
        <w:rPr>
          <w:rFonts w:hint="eastAsia" w:ascii="宋体" w:hAnsi="宋体" w:eastAsia="宋体" w:cs="宋体"/>
          <w:color w:val="000000"/>
          <w:sz w:val="24"/>
          <w:lang w:eastAsia="zh-CN"/>
        </w:rPr>
      </w:pPr>
      <w:r>
        <w:rPr>
          <w:rFonts w:hint="eastAsia" w:ascii="宋体" w:hAnsi="宋体" w:eastAsia="宋体" w:cs="宋体"/>
          <w:color w:val="000000"/>
          <w:sz w:val="24"/>
        </w:rPr>
        <w:t>2</w:t>
      </w:r>
      <w:r>
        <w:rPr>
          <w:rFonts w:ascii="宋体" w:hAnsi="宋体" w:eastAsia="宋体" w:cs="宋体"/>
          <w:color w:val="000000"/>
          <w:sz w:val="24"/>
        </w:rPr>
        <w:t>.2</w:t>
      </w:r>
      <w:r>
        <w:rPr>
          <w:rFonts w:hint="eastAsia" w:ascii="宋体" w:hAnsi="宋体" w:eastAsia="宋体" w:cs="宋体"/>
          <w:color w:val="000000"/>
          <w:sz w:val="24"/>
        </w:rPr>
        <w:t>项目类型：</w:t>
      </w:r>
      <w:r>
        <w:rPr>
          <w:rFonts w:hint="eastAsia" w:ascii="宋体" w:hAnsi="宋体" w:eastAsia="宋体" w:cs="宋体"/>
          <w:color w:val="000000"/>
          <w:sz w:val="24"/>
          <w:lang w:val="en-US" w:eastAsia="zh-CN"/>
        </w:rPr>
        <w:t>咨询</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3</w:t>
      </w:r>
      <w:r>
        <w:rPr>
          <w:rFonts w:hint="eastAsia" w:ascii="宋体" w:hAnsi="宋体" w:eastAsia="宋体" w:cs="宋体"/>
          <w:color w:val="000000"/>
          <w:sz w:val="24"/>
        </w:rPr>
        <w:t>项目概况：</w:t>
      </w:r>
    </w:p>
    <w:p>
      <w:pPr>
        <w:spacing w:line="360" w:lineRule="auto"/>
        <w:ind w:firstLine="480" w:firstLineChars="0"/>
        <w:rPr>
          <w:rFonts w:hint="default" w:ascii="宋体" w:hAnsi="宋体" w:eastAsia="宋体" w:cs="宋体"/>
          <w:sz w:val="24"/>
          <w:lang w:val="en-US" w:eastAsia="zh-CN"/>
        </w:rPr>
      </w:pPr>
      <w:r>
        <w:rPr>
          <w:rFonts w:hint="eastAsia" w:ascii="宋体" w:hAnsi="宋体" w:eastAsia="宋体" w:cs="宋体"/>
          <w:sz w:val="24"/>
          <w:lang w:val="en-US" w:eastAsia="zh-CN"/>
        </w:rPr>
        <w:t>本项目采用脉冲袋式除尘技术，主要对冯营石灰石矿6台除尘器拆除，改为8台脉冲袋式除尘器集中收尘，以及改造相应的电控系统和土建等。</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4</w:t>
      </w:r>
      <w:r>
        <w:rPr>
          <w:rFonts w:hint="eastAsia" w:ascii="宋体" w:hAnsi="宋体" w:eastAsia="宋体" w:cs="宋体"/>
          <w:color w:val="000000"/>
          <w:sz w:val="24"/>
        </w:rPr>
        <w:t>项目地点：河南省焦作市修武县七贤镇</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w:t>
      </w:r>
      <w:r>
        <w:rPr>
          <w:rFonts w:ascii="宋体" w:hAnsi="宋体" w:eastAsia="宋体" w:cs="宋体"/>
          <w:color w:val="000000"/>
          <w:sz w:val="24"/>
        </w:rPr>
        <w:t>5</w:t>
      </w:r>
      <w:r>
        <w:rPr>
          <w:rFonts w:hint="eastAsia" w:ascii="宋体" w:hAnsi="宋体" w:eastAsia="宋体" w:cs="宋体"/>
          <w:color w:val="000000"/>
          <w:sz w:val="24"/>
        </w:rPr>
        <w:t>采购范围及质量要求</w:t>
      </w:r>
    </w:p>
    <w:p>
      <w:pPr>
        <w:spacing w:line="360" w:lineRule="auto"/>
        <w:ind w:firstLine="556" w:firstLineChars="232"/>
        <w:rPr>
          <w:rFonts w:hint="eastAsia" w:ascii="宋体" w:hAnsi="宋体" w:eastAsia="宋体" w:cs="宋体"/>
          <w:sz w:val="24"/>
        </w:rPr>
      </w:pPr>
      <w:r>
        <w:rPr>
          <w:rFonts w:hint="eastAsia" w:ascii="宋体" w:hAnsi="宋体" w:eastAsia="宋体" w:cs="宋体"/>
          <w:sz w:val="24"/>
        </w:rPr>
        <w:t>项目可行性研究报告。</w:t>
      </w:r>
    </w:p>
    <w:p>
      <w:pPr>
        <w:spacing w:line="360" w:lineRule="auto"/>
        <w:ind w:firstLine="556" w:firstLineChars="232"/>
        <w:rPr>
          <w:rFonts w:hint="eastAsia" w:ascii="宋体" w:hAnsi="宋体" w:eastAsia="宋体" w:cs="宋体"/>
          <w:sz w:val="24"/>
        </w:rPr>
      </w:pPr>
      <w:r>
        <w:rPr>
          <w:rFonts w:hint="eastAsia" w:ascii="宋体" w:hAnsi="宋体" w:eastAsia="宋体" w:cs="宋体"/>
          <w:sz w:val="24"/>
          <w:lang w:val="en-US" w:eastAsia="zh-CN"/>
        </w:rPr>
        <w:t>参照国家发改委《企业投资项目可行性研究报告编写参考大纲（2023版）》进行编制，并符合国家、行业相关规范</w:t>
      </w:r>
      <w:r>
        <w:rPr>
          <w:rFonts w:hint="eastAsia" w:ascii="宋体" w:hAnsi="宋体" w:eastAsia="宋体" w:cs="宋体"/>
          <w:sz w:val="24"/>
        </w:rPr>
        <w:t>。</w:t>
      </w:r>
    </w:p>
    <w:p>
      <w:pPr>
        <w:numPr>
          <w:ilvl w:val="0"/>
          <w:numId w:val="1"/>
        </w:numPr>
        <w:spacing w:line="360" w:lineRule="auto"/>
        <w:ind w:firstLine="556" w:firstLineChars="232"/>
        <w:rPr>
          <w:rFonts w:hint="eastAsia" w:ascii="宋体" w:hAnsi="宋体" w:eastAsia="宋体" w:cs="宋体"/>
          <w:sz w:val="24"/>
          <w:lang w:val="en-US" w:eastAsia="zh-CN"/>
        </w:rPr>
      </w:pPr>
      <w:r>
        <w:rPr>
          <w:rFonts w:hint="eastAsia" w:ascii="宋体" w:hAnsi="宋体" w:eastAsia="宋体" w:cs="宋体"/>
          <w:sz w:val="24"/>
          <w:lang w:val="en-US" w:eastAsia="zh-CN"/>
        </w:rPr>
        <w:t>多方案比选、合理确定经济规模、优化总图布局、充分利用内部资源，从源头优化项目投资；</w:t>
      </w:r>
    </w:p>
    <w:p>
      <w:pPr>
        <w:numPr>
          <w:ilvl w:val="0"/>
          <w:numId w:val="1"/>
        </w:numPr>
        <w:spacing w:line="360" w:lineRule="auto"/>
        <w:ind w:firstLine="556" w:firstLineChars="232"/>
        <w:rPr>
          <w:rFonts w:hint="default" w:ascii="宋体" w:hAnsi="宋体" w:eastAsia="宋体" w:cs="宋体"/>
          <w:sz w:val="24"/>
          <w:lang w:val="en-US" w:eastAsia="zh-CN"/>
        </w:rPr>
      </w:pPr>
      <w:r>
        <w:rPr>
          <w:rFonts w:hint="eastAsia" w:ascii="宋体" w:hAnsi="宋体" w:eastAsia="宋体" w:cs="宋体"/>
          <w:sz w:val="24"/>
          <w:lang w:val="en-US" w:eastAsia="zh-CN"/>
        </w:rPr>
        <w:t>强化投资项目关键外部建设条件可实现性评估，从市场、技术角度分析评估项目关键外部建设条件的可实现性；</w:t>
      </w:r>
    </w:p>
    <w:p>
      <w:pPr>
        <w:numPr>
          <w:ilvl w:val="0"/>
          <w:numId w:val="1"/>
        </w:numPr>
        <w:spacing w:line="360" w:lineRule="auto"/>
        <w:ind w:firstLine="556" w:firstLineChars="232"/>
        <w:rPr>
          <w:rFonts w:hint="default" w:ascii="宋体" w:hAnsi="宋体" w:eastAsia="宋体" w:cs="宋体"/>
          <w:sz w:val="24"/>
          <w:lang w:val="en-US" w:eastAsia="zh-CN"/>
        </w:rPr>
      </w:pPr>
      <w:r>
        <w:rPr>
          <w:rFonts w:hint="eastAsia" w:ascii="宋体" w:hAnsi="宋体" w:eastAsia="宋体" w:cs="宋体"/>
          <w:sz w:val="24"/>
          <w:lang w:val="en-US" w:eastAsia="zh-CN"/>
        </w:rPr>
        <w:t>强化产品市场前景分析，应当提供市场周期变化的预判分析；</w:t>
      </w:r>
    </w:p>
    <w:p>
      <w:pPr>
        <w:numPr>
          <w:ilvl w:val="0"/>
          <w:numId w:val="1"/>
        </w:numPr>
        <w:spacing w:line="360" w:lineRule="auto"/>
        <w:ind w:firstLine="556" w:firstLineChars="232"/>
        <w:rPr>
          <w:rFonts w:hint="default" w:ascii="宋体" w:hAnsi="宋体" w:eastAsia="宋体" w:cs="宋体"/>
          <w:sz w:val="24"/>
          <w:lang w:val="en-US" w:eastAsia="zh-CN"/>
        </w:rPr>
      </w:pPr>
      <w:r>
        <w:rPr>
          <w:rFonts w:hint="eastAsia" w:ascii="宋体" w:hAnsi="宋体" w:eastAsia="宋体" w:cs="宋体"/>
          <w:sz w:val="24"/>
          <w:lang w:val="en-US" w:eastAsia="zh-CN"/>
        </w:rPr>
        <w:t>强化技术方案研究论证，确保项目工艺方案和设备选型先进成熟可靠，技术指标先进合理，加强项目智能化、生态化设计，推动产业高端化；</w:t>
      </w:r>
    </w:p>
    <w:p>
      <w:pPr>
        <w:numPr>
          <w:ilvl w:val="0"/>
          <w:numId w:val="1"/>
        </w:numPr>
        <w:spacing w:line="360" w:lineRule="auto"/>
        <w:ind w:firstLine="556" w:firstLineChars="232"/>
        <w:rPr>
          <w:rFonts w:hint="default" w:ascii="宋体" w:hAnsi="宋体" w:eastAsia="宋体" w:cs="宋体"/>
          <w:sz w:val="24"/>
          <w:lang w:val="en-US" w:eastAsia="zh-CN"/>
        </w:rPr>
      </w:pPr>
      <w:r>
        <w:rPr>
          <w:rFonts w:hint="eastAsia" w:ascii="宋体" w:hAnsi="宋体" w:eastAsia="宋体" w:cs="宋体"/>
          <w:sz w:val="24"/>
          <w:lang w:val="en-US" w:eastAsia="zh-CN"/>
        </w:rPr>
        <w:t>根据《电解铝和氧化铝单位产品能源消耗限额》（GB 21346-2022）选用设备要求达到能效等级1级；</w:t>
      </w:r>
    </w:p>
    <w:p>
      <w:pPr>
        <w:numPr>
          <w:ilvl w:val="0"/>
          <w:numId w:val="1"/>
        </w:numPr>
        <w:spacing w:line="360" w:lineRule="auto"/>
        <w:ind w:firstLine="556" w:firstLineChars="232"/>
        <w:rPr>
          <w:rFonts w:hint="eastAsia" w:ascii="宋体" w:hAnsi="宋体" w:eastAsia="宋体" w:cs="宋体"/>
          <w:sz w:val="24"/>
          <w:lang w:val="en-US" w:eastAsia="zh-CN"/>
        </w:rPr>
      </w:pPr>
      <w:r>
        <w:rPr>
          <w:rFonts w:hint="default" w:ascii="宋体" w:hAnsi="宋体" w:eastAsia="宋体" w:cs="宋体"/>
          <w:sz w:val="24"/>
          <w:lang w:val="en-US" w:eastAsia="zh-CN"/>
        </w:rPr>
        <w:t>强化风险分析与评估，对主要风险点，应当分析风险影响程度，制定风险应对措施，形成项目风险清单</w:t>
      </w:r>
      <w:r>
        <w:rPr>
          <w:rFonts w:hint="eastAsia" w:ascii="宋体" w:hAnsi="宋体" w:eastAsia="宋体" w:cs="宋体"/>
          <w:sz w:val="24"/>
          <w:lang w:val="en-US" w:eastAsia="zh-CN"/>
        </w:rPr>
        <w:t>。</w:t>
      </w:r>
    </w:p>
    <w:p>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2.6 工期</w:t>
      </w:r>
    </w:p>
    <w:p>
      <w:pPr>
        <w:spacing w:line="360" w:lineRule="auto"/>
        <w:ind w:firstLine="556" w:firstLineChars="232"/>
        <w:rPr>
          <w:rFonts w:hint="default" w:ascii="宋体" w:hAnsi="宋体" w:eastAsia="宋体" w:cs="宋体"/>
          <w:sz w:val="24"/>
          <w:lang w:val="en-US" w:eastAsia="zh-CN"/>
        </w:rPr>
      </w:pPr>
      <w:r>
        <w:rPr>
          <w:rFonts w:hint="eastAsia" w:ascii="宋体" w:hAnsi="宋体" w:eastAsia="宋体" w:cs="宋体"/>
          <w:sz w:val="24"/>
          <w:lang w:val="en-US" w:eastAsia="zh-CN"/>
        </w:rPr>
        <w:t>30日历天。</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22" w:name="_Toc5603"/>
      <w:bookmarkStart w:id="23" w:name="_Toc27226"/>
      <w:bookmarkStart w:id="24" w:name="_Toc2390"/>
      <w:bookmarkStart w:id="25" w:name="_Toc11015"/>
      <w:bookmarkStart w:id="26" w:name="_Toc517804006"/>
      <w:bookmarkStart w:id="27" w:name="_Toc528139658"/>
      <w:r>
        <w:rPr>
          <w:rFonts w:hint="eastAsia" w:ascii="仿宋" w:hAnsi="仿宋" w:eastAsia="仿宋" w:cs="仿宋"/>
          <w:b/>
          <w:bCs w:val="0"/>
          <w:color w:val="000000"/>
          <w:kern w:val="2"/>
          <w:sz w:val="28"/>
          <w:szCs w:val="28"/>
          <w:lang w:val="en-US" w:eastAsia="ar-SA" w:bidi="ar-SA"/>
        </w:rPr>
        <w:t>3.</w:t>
      </w:r>
      <w:r>
        <w:rPr>
          <w:rFonts w:hint="eastAsia" w:ascii="仿宋" w:hAnsi="仿宋" w:eastAsia="仿宋" w:cs="仿宋"/>
          <w:b/>
          <w:bCs w:val="0"/>
          <w:color w:val="000000"/>
          <w:kern w:val="2"/>
          <w:sz w:val="28"/>
          <w:szCs w:val="28"/>
          <w:lang w:val="en-US" w:eastAsia="zh-CN" w:bidi="ar-SA"/>
        </w:rPr>
        <w:t>报价</w:t>
      </w:r>
      <w:r>
        <w:rPr>
          <w:rFonts w:hint="eastAsia" w:ascii="仿宋" w:hAnsi="仿宋" w:eastAsia="仿宋" w:cs="仿宋"/>
          <w:b/>
          <w:bCs w:val="0"/>
          <w:color w:val="000000"/>
          <w:kern w:val="2"/>
          <w:sz w:val="28"/>
          <w:szCs w:val="28"/>
          <w:lang w:val="en-US" w:eastAsia="ar-SA" w:bidi="ar-SA"/>
        </w:rPr>
        <w:t>人资格要求</w:t>
      </w:r>
      <w:bookmarkEnd w:id="22"/>
      <w:bookmarkEnd w:id="23"/>
      <w:bookmarkEnd w:id="24"/>
      <w:bookmarkEnd w:id="25"/>
      <w:bookmarkEnd w:id="26"/>
      <w:bookmarkEnd w:id="27"/>
    </w:p>
    <w:p>
      <w:pPr>
        <w:spacing w:line="360" w:lineRule="auto"/>
        <w:ind w:firstLine="480" w:firstLineChars="200"/>
        <w:rPr>
          <w:rFonts w:hint="eastAsia" w:ascii="宋体" w:hAnsi="宋体" w:eastAsia="宋体" w:cs="宋体"/>
          <w:color w:val="000000"/>
          <w:sz w:val="24"/>
          <w:lang w:val="en-US" w:eastAsia="zh-CN"/>
        </w:rPr>
      </w:pPr>
      <w:bookmarkStart w:id="28" w:name="_Toc528139659"/>
      <w:bookmarkStart w:id="29" w:name="_Toc25082"/>
      <w:bookmarkStart w:id="30" w:name="_Toc16527"/>
      <w:bookmarkStart w:id="31" w:name="_Toc19710"/>
      <w:bookmarkStart w:id="32" w:name="_Toc517804007"/>
      <w:r>
        <w:rPr>
          <w:rFonts w:hint="eastAsia" w:ascii="宋体" w:hAnsi="宋体" w:eastAsia="宋体" w:cs="宋体"/>
          <w:color w:val="000000"/>
          <w:sz w:val="24"/>
          <w:lang w:val="en-US" w:eastAsia="zh-CN"/>
        </w:rPr>
        <w:t>3.1必须为在中华人民共和国境内(不含港、澳、台地区)注册的法人企业，持有有效的营业执照。</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3.2报价人具有工程设计冶金行业金属冶炼工程专业乙级及以上资格。</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3.3报价人应具有良好的银行资信和商业信誉,没有处于被责令停业，财产被接管、冻结及破产状态，财务状况良好，需提供近两年（2022-2023年）经第三方审计的财务报表。</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注：报价人的成立时间少于规定年份的，应提供成立以来的财务报表。</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3.4报价人近三年（2021年1月1日-至今）来有过不少于1个类似项目可行性研究报告业绩，提供合同关键页复印件，以签署日期为准。</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3.5报价人在报名期间和报价有效期内未被列入中国铝业集团有限公司承包商负面清单或涉诉黑名单，不存在被列为失信被执行人的情形，具体认定以全国法院失信被执行人名单信息公布与查询网(zxgk.court.gov.cn)或国家发展改革委信用中国(www.creditchina.gov.cn）网站检索结果为准，需在报价文件中提供网页截图。</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3.6次采购不接受联合体</w:t>
      </w:r>
      <w:r>
        <w:rPr>
          <w:rFonts w:hint="eastAsia" w:ascii="宋体" w:hAnsi="宋体" w:eastAsia="宋体" w:cs="宋体"/>
          <w:color w:val="000000"/>
          <w:sz w:val="24"/>
        </w:rPr>
        <w:t>。</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33" w:name="_Toc13367"/>
      <w:r>
        <w:rPr>
          <w:rFonts w:hint="eastAsia" w:ascii="仿宋" w:hAnsi="仿宋" w:eastAsia="仿宋" w:cs="仿宋"/>
          <w:b/>
          <w:bCs w:val="0"/>
          <w:color w:val="000000"/>
          <w:kern w:val="2"/>
          <w:sz w:val="28"/>
          <w:szCs w:val="28"/>
          <w:lang w:val="en-US" w:eastAsia="ar-SA" w:bidi="ar-SA"/>
        </w:rPr>
        <w:t>4.报名和</w:t>
      </w:r>
      <w:r>
        <w:rPr>
          <w:rFonts w:hint="eastAsia" w:ascii="仿宋" w:hAnsi="仿宋" w:eastAsia="仿宋" w:cs="仿宋"/>
          <w:b/>
          <w:bCs w:val="0"/>
          <w:color w:val="000000"/>
          <w:kern w:val="2"/>
          <w:sz w:val="28"/>
          <w:szCs w:val="28"/>
          <w:lang w:val="en-US" w:eastAsia="zh-CN" w:bidi="ar-SA"/>
        </w:rPr>
        <w:t>采购</w:t>
      </w:r>
      <w:r>
        <w:rPr>
          <w:rFonts w:hint="eastAsia" w:ascii="仿宋" w:hAnsi="仿宋" w:eastAsia="仿宋" w:cs="仿宋"/>
          <w:b/>
          <w:bCs w:val="0"/>
          <w:color w:val="000000"/>
          <w:kern w:val="2"/>
          <w:sz w:val="28"/>
          <w:szCs w:val="28"/>
          <w:lang w:val="en-US" w:eastAsia="ar-SA" w:bidi="ar-SA"/>
        </w:rPr>
        <w:t>文件的获取</w:t>
      </w:r>
      <w:bookmarkEnd w:id="28"/>
      <w:bookmarkEnd w:id="29"/>
      <w:bookmarkEnd w:id="30"/>
      <w:bookmarkEnd w:id="31"/>
      <w:bookmarkEnd w:id="32"/>
      <w:bookmarkEnd w:id="33"/>
    </w:p>
    <w:p>
      <w:pPr>
        <w:spacing w:line="360" w:lineRule="auto"/>
        <w:ind w:firstLine="420" w:firstLineChars="0"/>
        <w:rPr>
          <w:rFonts w:ascii="宋体" w:hAnsi="宋体" w:eastAsia="宋体" w:cs="仿宋"/>
          <w:bCs/>
          <w:sz w:val="24"/>
        </w:rPr>
      </w:pPr>
      <w:bookmarkStart w:id="34" w:name="_Toc528139660"/>
      <w:bookmarkStart w:id="35" w:name="_Toc517804008"/>
      <w:r>
        <w:rPr>
          <w:rFonts w:hint="eastAsia" w:ascii="宋体" w:hAnsi="宋体" w:eastAsia="宋体" w:cs="仿宋"/>
          <w:bCs/>
          <w:sz w:val="24"/>
        </w:rPr>
        <w:t>4.1获取时间：</w:t>
      </w:r>
      <w:r>
        <w:rPr>
          <w:rFonts w:hint="eastAsia" w:ascii="宋体" w:hAnsi="宋体" w:eastAsia="宋体" w:cs="仿宋"/>
          <w:bCs/>
          <w:sz w:val="24"/>
          <w:highlight w:val="yellow"/>
          <w:u w:val="single"/>
        </w:rPr>
        <w:t>20</w:t>
      </w:r>
      <w:r>
        <w:rPr>
          <w:rFonts w:ascii="宋体" w:hAnsi="宋体" w:eastAsia="宋体" w:cs="仿宋"/>
          <w:bCs/>
          <w:sz w:val="24"/>
          <w:highlight w:val="yellow"/>
          <w:u w:val="single"/>
        </w:rPr>
        <w:t>2</w:t>
      </w:r>
      <w:r>
        <w:rPr>
          <w:rFonts w:hint="eastAsia" w:ascii="宋体" w:hAnsi="宋体" w:eastAsia="宋体" w:cs="仿宋"/>
          <w:bCs/>
          <w:sz w:val="24"/>
          <w:highlight w:val="yellow"/>
          <w:u w:val="single"/>
          <w:lang w:val="en-US" w:eastAsia="zh-CN"/>
        </w:rPr>
        <w:t>4</w:t>
      </w:r>
      <w:r>
        <w:rPr>
          <w:rFonts w:hint="eastAsia" w:ascii="宋体" w:hAnsi="宋体" w:eastAsia="宋体" w:cs="仿宋"/>
          <w:bCs/>
          <w:sz w:val="24"/>
          <w:highlight w:val="yellow"/>
          <w:u w:val="single"/>
        </w:rPr>
        <w:t>年</w:t>
      </w:r>
      <w:r>
        <w:rPr>
          <w:rFonts w:hint="eastAsia" w:ascii="宋体" w:hAnsi="宋体" w:eastAsia="宋体" w:cs="仿宋"/>
          <w:bCs/>
          <w:sz w:val="24"/>
          <w:highlight w:val="yellow"/>
          <w:u w:val="single"/>
          <w:lang w:val="en-US" w:eastAsia="zh-CN"/>
        </w:rPr>
        <w:t>10</w:t>
      </w:r>
      <w:r>
        <w:rPr>
          <w:rFonts w:hint="eastAsia" w:ascii="宋体" w:hAnsi="宋体" w:eastAsia="宋体" w:cs="仿宋"/>
          <w:bCs/>
          <w:sz w:val="24"/>
          <w:highlight w:val="yellow"/>
          <w:u w:val="single"/>
        </w:rPr>
        <w:t>月</w:t>
      </w:r>
      <w:r>
        <w:rPr>
          <w:rFonts w:hint="eastAsia" w:ascii="宋体" w:hAnsi="宋体" w:eastAsia="宋体" w:cs="仿宋"/>
          <w:bCs/>
          <w:sz w:val="24"/>
          <w:highlight w:val="yellow"/>
          <w:u w:val="single"/>
          <w:lang w:val="en-US" w:eastAsia="zh-CN"/>
        </w:rPr>
        <w:t>14</w:t>
      </w:r>
      <w:r>
        <w:rPr>
          <w:rFonts w:hint="eastAsia" w:ascii="宋体" w:hAnsi="宋体" w:eastAsia="宋体" w:cs="仿宋"/>
          <w:bCs/>
          <w:sz w:val="24"/>
          <w:highlight w:val="yellow"/>
          <w:u w:val="single"/>
        </w:rPr>
        <w:t>日</w:t>
      </w:r>
      <w:r>
        <w:rPr>
          <w:rFonts w:hint="eastAsia" w:ascii="宋体" w:hAnsi="宋体" w:eastAsia="宋体" w:cs="仿宋"/>
          <w:bCs/>
          <w:sz w:val="24"/>
          <w:highlight w:val="yellow"/>
          <w:u w:val="single"/>
          <w:lang w:val="en-US" w:eastAsia="zh-CN"/>
        </w:rPr>
        <w:t>16</w:t>
      </w:r>
      <w:r>
        <w:rPr>
          <w:rFonts w:hint="eastAsia" w:ascii="宋体" w:hAnsi="宋体" w:eastAsia="宋体" w:cs="仿宋"/>
          <w:bCs/>
          <w:sz w:val="24"/>
          <w:highlight w:val="yellow"/>
          <w:u w:val="single"/>
        </w:rPr>
        <w:t>:00至</w:t>
      </w:r>
      <w:r>
        <w:rPr>
          <w:rFonts w:hint="eastAsia" w:ascii="宋体" w:hAnsi="宋体" w:eastAsia="宋体" w:cs="仿宋"/>
          <w:bCs/>
          <w:sz w:val="10"/>
          <w:highlight w:val="yellow"/>
          <w:u w:val="single"/>
        </w:rPr>
        <w:t xml:space="preserve"> </w:t>
      </w:r>
      <w:r>
        <w:rPr>
          <w:rFonts w:hint="eastAsia" w:ascii="宋体" w:hAnsi="宋体" w:eastAsia="宋体" w:cs="仿宋"/>
          <w:bCs/>
          <w:sz w:val="24"/>
          <w:highlight w:val="yellow"/>
          <w:u w:val="single"/>
        </w:rPr>
        <w:t>20</w:t>
      </w:r>
      <w:r>
        <w:rPr>
          <w:rFonts w:ascii="宋体" w:hAnsi="宋体" w:eastAsia="宋体" w:cs="仿宋"/>
          <w:bCs/>
          <w:sz w:val="24"/>
          <w:highlight w:val="yellow"/>
          <w:u w:val="single"/>
        </w:rPr>
        <w:t>2</w:t>
      </w:r>
      <w:r>
        <w:rPr>
          <w:rFonts w:hint="eastAsia" w:ascii="宋体" w:hAnsi="宋体" w:eastAsia="宋体" w:cs="仿宋"/>
          <w:bCs/>
          <w:sz w:val="24"/>
          <w:highlight w:val="yellow"/>
          <w:u w:val="single"/>
          <w:lang w:val="en-US" w:eastAsia="zh-CN"/>
        </w:rPr>
        <w:t>4</w:t>
      </w:r>
      <w:r>
        <w:rPr>
          <w:rFonts w:hint="eastAsia" w:ascii="宋体" w:hAnsi="宋体" w:eastAsia="宋体" w:cs="仿宋"/>
          <w:bCs/>
          <w:sz w:val="24"/>
          <w:highlight w:val="yellow"/>
          <w:u w:val="single"/>
        </w:rPr>
        <w:t>年</w:t>
      </w:r>
      <w:r>
        <w:rPr>
          <w:rFonts w:hint="eastAsia" w:ascii="宋体" w:hAnsi="宋体" w:eastAsia="宋体" w:cs="仿宋"/>
          <w:bCs/>
          <w:sz w:val="24"/>
          <w:highlight w:val="yellow"/>
          <w:u w:val="single"/>
          <w:lang w:val="en-US" w:eastAsia="zh-CN"/>
        </w:rPr>
        <w:t>10</w:t>
      </w:r>
      <w:r>
        <w:rPr>
          <w:rFonts w:hint="eastAsia" w:ascii="宋体" w:hAnsi="宋体" w:eastAsia="宋体" w:cs="仿宋"/>
          <w:bCs/>
          <w:sz w:val="24"/>
          <w:highlight w:val="yellow"/>
          <w:u w:val="single"/>
        </w:rPr>
        <w:t>月</w:t>
      </w:r>
      <w:r>
        <w:rPr>
          <w:rFonts w:hint="eastAsia" w:ascii="宋体" w:hAnsi="宋体" w:eastAsia="宋体" w:cs="仿宋"/>
          <w:bCs/>
          <w:sz w:val="24"/>
          <w:highlight w:val="yellow"/>
          <w:u w:val="single"/>
          <w:lang w:val="en-US" w:eastAsia="zh-CN"/>
        </w:rPr>
        <w:t>16</w:t>
      </w:r>
      <w:r>
        <w:rPr>
          <w:rFonts w:hint="eastAsia" w:ascii="宋体" w:hAnsi="宋体" w:eastAsia="宋体" w:cs="仿宋"/>
          <w:bCs/>
          <w:sz w:val="24"/>
          <w:highlight w:val="yellow"/>
          <w:u w:val="single"/>
        </w:rPr>
        <w:t>日</w:t>
      </w:r>
      <w:r>
        <w:rPr>
          <w:rFonts w:hint="eastAsia" w:ascii="宋体" w:hAnsi="宋体" w:eastAsia="宋体" w:cs="仿宋"/>
          <w:bCs/>
          <w:sz w:val="24"/>
          <w:highlight w:val="yellow"/>
          <w:u w:val="single"/>
          <w:lang w:val="en-US" w:eastAsia="zh-CN"/>
        </w:rPr>
        <w:t>16</w:t>
      </w:r>
      <w:r>
        <w:rPr>
          <w:rFonts w:hint="eastAsia" w:ascii="宋体" w:hAnsi="宋体" w:eastAsia="宋体" w:cs="仿宋"/>
          <w:bCs/>
          <w:sz w:val="24"/>
          <w:highlight w:val="yellow"/>
          <w:u w:val="single"/>
        </w:rPr>
        <w:t>:00</w:t>
      </w:r>
      <w:r>
        <w:rPr>
          <w:rFonts w:hint="eastAsia" w:ascii="宋体" w:hAnsi="宋体" w:eastAsia="宋体" w:cs="仿宋"/>
          <w:bCs/>
          <w:sz w:val="24"/>
        </w:rPr>
        <w:t>（北京时间）。</w:t>
      </w:r>
    </w:p>
    <w:p>
      <w:pPr>
        <w:spacing w:line="360" w:lineRule="auto"/>
        <w:ind w:firstLine="420" w:firstLineChars="0"/>
        <w:rPr>
          <w:rFonts w:ascii="宋体" w:hAnsi="宋体" w:eastAsia="宋体" w:cs="仿宋"/>
          <w:bCs/>
          <w:sz w:val="24"/>
        </w:rPr>
      </w:pPr>
      <w:r>
        <w:rPr>
          <w:rFonts w:hint="eastAsia" w:ascii="宋体" w:hAnsi="宋体" w:eastAsia="宋体" w:cs="仿宋"/>
          <w:bCs/>
          <w:sz w:val="24"/>
        </w:rPr>
        <w:t>4.2获取途径：登陆中铝中州铝业有限公司招标投标公示平台获取信息，联系采购人报名参加获取。</w:t>
      </w:r>
    </w:p>
    <w:p>
      <w:pPr>
        <w:spacing w:line="360" w:lineRule="auto"/>
        <w:ind w:firstLine="420" w:firstLineChars="0"/>
        <w:rPr>
          <w:rFonts w:ascii="宋体" w:hAnsi="宋体" w:eastAsia="宋体" w:cs="仿宋"/>
          <w:bCs/>
          <w:sz w:val="24"/>
        </w:rPr>
      </w:pPr>
      <w:r>
        <w:rPr>
          <w:rFonts w:hint="eastAsia" w:ascii="宋体" w:hAnsi="宋体" w:eastAsia="宋体" w:cs="仿宋"/>
          <w:bCs/>
          <w:sz w:val="24"/>
        </w:rPr>
        <w:t>备注声明：本次采购全流程信息发布和联络以获取采购文件时填写的信息为准，报价人应对填写的所有信息的真实性和准确性负责，并自行承担信息有误导致的一切后果。</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36" w:name="_Toc9309"/>
      <w:bookmarkStart w:id="37" w:name="_Toc1926"/>
      <w:bookmarkStart w:id="38" w:name="_Toc10989"/>
      <w:bookmarkStart w:id="39" w:name="_Toc14599"/>
      <w:r>
        <w:rPr>
          <w:rFonts w:hint="eastAsia" w:ascii="仿宋" w:hAnsi="仿宋" w:eastAsia="仿宋" w:cs="仿宋"/>
          <w:b/>
          <w:bCs w:val="0"/>
          <w:color w:val="000000"/>
          <w:kern w:val="2"/>
          <w:sz w:val="28"/>
          <w:szCs w:val="28"/>
          <w:lang w:val="en-US" w:eastAsia="ar-SA" w:bidi="ar-SA"/>
        </w:rPr>
        <w:t>5.资格审查方式</w:t>
      </w:r>
      <w:bookmarkEnd w:id="34"/>
      <w:bookmarkEnd w:id="35"/>
      <w:bookmarkEnd w:id="36"/>
      <w:bookmarkEnd w:id="37"/>
      <w:bookmarkEnd w:id="38"/>
      <w:bookmarkEnd w:id="39"/>
    </w:p>
    <w:p>
      <w:pPr>
        <w:autoSpaceDN w:val="0"/>
        <w:spacing w:line="360" w:lineRule="auto"/>
        <w:ind w:firstLine="480" w:firstLineChars="0"/>
        <w:textAlignment w:val="center"/>
        <w:rPr>
          <w:rFonts w:ascii="宋体" w:hAnsi="宋体" w:eastAsia="宋体" w:cs="仿宋"/>
          <w:bCs/>
          <w:color w:val="000000"/>
          <w:sz w:val="24"/>
        </w:rPr>
      </w:pPr>
      <w:r>
        <w:rPr>
          <w:rFonts w:hint="eastAsia" w:ascii="宋体" w:hAnsi="宋体" w:eastAsia="宋体" w:cs="仿宋"/>
          <w:bCs/>
          <w:color w:val="000000"/>
          <w:sz w:val="24"/>
        </w:rPr>
        <w:t>本次采购资格审查方式采用资格后审，在评审时由评审委员会对报价人进行资格审查。</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40" w:name="_Toc21288"/>
      <w:bookmarkStart w:id="41" w:name="_Toc6634"/>
      <w:bookmarkStart w:id="42" w:name="_Toc32752"/>
      <w:bookmarkStart w:id="43" w:name="_Toc19525"/>
      <w:bookmarkStart w:id="44" w:name="_Toc528139661"/>
      <w:bookmarkStart w:id="45" w:name="_Toc517804009"/>
      <w:r>
        <w:rPr>
          <w:rFonts w:hint="eastAsia" w:ascii="仿宋" w:hAnsi="仿宋" w:eastAsia="仿宋" w:cs="仿宋"/>
          <w:b/>
          <w:bCs w:val="0"/>
          <w:color w:val="000000"/>
          <w:kern w:val="2"/>
          <w:sz w:val="28"/>
          <w:szCs w:val="28"/>
          <w:lang w:val="en-US" w:eastAsia="ar-SA" w:bidi="ar-SA"/>
        </w:rPr>
        <w:t>6.</w:t>
      </w:r>
      <w:r>
        <w:rPr>
          <w:rFonts w:hint="eastAsia" w:ascii="仿宋" w:hAnsi="仿宋" w:eastAsia="仿宋" w:cs="仿宋"/>
          <w:b/>
          <w:bCs w:val="0"/>
          <w:color w:val="000000"/>
          <w:kern w:val="2"/>
          <w:sz w:val="28"/>
          <w:szCs w:val="28"/>
          <w:lang w:val="en-US" w:eastAsia="zh-CN" w:bidi="ar-SA"/>
        </w:rPr>
        <w:t>报价</w:t>
      </w:r>
      <w:r>
        <w:rPr>
          <w:rFonts w:hint="eastAsia" w:ascii="仿宋" w:hAnsi="仿宋" w:eastAsia="仿宋" w:cs="仿宋"/>
          <w:b/>
          <w:bCs w:val="0"/>
          <w:color w:val="000000"/>
          <w:kern w:val="2"/>
          <w:sz w:val="28"/>
          <w:szCs w:val="28"/>
          <w:lang w:val="en-US" w:eastAsia="ar-SA" w:bidi="ar-SA"/>
        </w:rPr>
        <w:t>文件的递交</w:t>
      </w:r>
      <w:bookmarkEnd w:id="40"/>
      <w:bookmarkEnd w:id="41"/>
      <w:bookmarkEnd w:id="42"/>
      <w:bookmarkEnd w:id="43"/>
      <w:bookmarkEnd w:id="44"/>
      <w:bookmarkEnd w:id="45"/>
    </w:p>
    <w:p>
      <w:pPr>
        <w:autoSpaceDN w:val="0"/>
        <w:spacing w:line="360" w:lineRule="auto"/>
        <w:ind w:firstLine="480" w:firstLineChars="0"/>
        <w:textAlignment w:val="center"/>
        <w:rPr>
          <w:rFonts w:hint="eastAsia" w:ascii="宋体" w:hAnsi="宋体" w:eastAsia="宋体" w:cs="仿宋"/>
          <w:bCs/>
          <w:color w:val="000000"/>
          <w:sz w:val="24"/>
          <w:lang w:eastAsia="zh-CN"/>
        </w:rPr>
      </w:pPr>
      <w:r>
        <w:rPr>
          <w:rFonts w:hint="eastAsia" w:ascii="宋体" w:hAnsi="宋体" w:eastAsia="宋体" w:cs="仿宋"/>
          <w:bCs/>
          <w:sz w:val="24"/>
        </w:rPr>
        <w:t>6.1 报价文件递交截止时间/唱价时间：</w:t>
      </w:r>
      <w:r>
        <w:rPr>
          <w:rFonts w:hint="eastAsia" w:ascii="宋体" w:hAnsi="宋体" w:eastAsia="宋体" w:cs="仿宋"/>
          <w:b/>
          <w:bCs/>
          <w:sz w:val="10"/>
          <w:u w:val="single"/>
        </w:rPr>
        <w:t xml:space="preserve"> </w:t>
      </w:r>
      <w:r>
        <w:rPr>
          <w:rFonts w:hint="eastAsia" w:ascii="宋体" w:hAnsi="宋体" w:eastAsia="宋体" w:cs="仿宋"/>
          <w:b/>
          <w:bCs/>
          <w:sz w:val="24"/>
          <w:highlight w:val="yellow"/>
          <w:u w:val="single"/>
        </w:rPr>
        <w:t>20</w:t>
      </w:r>
      <w:r>
        <w:rPr>
          <w:rFonts w:ascii="宋体" w:hAnsi="宋体" w:eastAsia="宋体" w:cs="仿宋"/>
          <w:b/>
          <w:bCs/>
          <w:sz w:val="24"/>
          <w:highlight w:val="yellow"/>
          <w:u w:val="single"/>
        </w:rPr>
        <w:t>2</w:t>
      </w:r>
      <w:r>
        <w:rPr>
          <w:rFonts w:hint="eastAsia" w:ascii="宋体" w:hAnsi="宋体" w:eastAsia="宋体" w:cs="仿宋"/>
          <w:b/>
          <w:bCs/>
          <w:sz w:val="24"/>
          <w:highlight w:val="yellow"/>
          <w:u w:val="single"/>
          <w:lang w:val="en-US" w:eastAsia="zh-CN"/>
        </w:rPr>
        <w:t>4</w:t>
      </w:r>
      <w:r>
        <w:rPr>
          <w:rFonts w:hint="eastAsia" w:ascii="宋体" w:hAnsi="宋体" w:eastAsia="宋体" w:cs="仿宋"/>
          <w:b/>
          <w:bCs/>
          <w:sz w:val="24"/>
          <w:highlight w:val="yellow"/>
          <w:u w:val="single"/>
        </w:rPr>
        <w:t>年</w:t>
      </w:r>
      <w:r>
        <w:rPr>
          <w:rFonts w:hint="eastAsia" w:ascii="宋体" w:hAnsi="宋体" w:eastAsia="宋体" w:cs="仿宋"/>
          <w:b/>
          <w:bCs/>
          <w:sz w:val="24"/>
          <w:highlight w:val="yellow"/>
          <w:u w:val="single"/>
          <w:lang w:val="en-US" w:eastAsia="zh-CN"/>
        </w:rPr>
        <w:t>10</w:t>
      </w:r>
      <w:r>
        <w:rPr>
          <w:rFonts w:hint="eastAsia" w:ascii="宋体" w:hAnsi="宋体" w:eastAsia="宋体" w:cs="仿宋"/>
          <w:b/>
          <w:bCs/>
          <w:sz w:val="24"/>
          <w:highlight w:val="yellow"/>
          <w:u w:val="single"/>
        </w:rPr>
        <w:t>月</w:t>
      </w:r>
      <w:r>
        <w:rPr>
          <w:rFonts w:hint="eastAsia" w:ascii="宋体" w:hAnsi="宋体" w:eastAsia="宋体" w:cs="仿宋"/>
          <w:b/>
          <w:bCs/>
          <w:sz w:val="24"/>
          <w:highlight w:val="yellow"/>
          <w:u w:val="single"/>
          <w:lang w:val="en-US" w:eastAsia="zh-CN"/>
        </w:rPr>
        <w:t>23</w:t>
      </w:r>
      <w:r>
        <w:rPr>
          <w:rFonts w:hint="eastAsia" w:ascii="宋体" w:hAnsi="宋体" w:eastAsia="宋体" w:cs="仿宋"/>
          <w:b/>
          <w:bCs/>
          <w:sz w:val="24"/>
          <w:highlight w:val="yellow"/>
          <w:u w:val="single"/>
        </w:rPr>
        <w:t>日</w:t>
      </w:r>
      <w:r>
        <w:rPr>
          <w:rFonts w:ascii="宋体" w:hAnsi="宋体" w:eastAsia="宋体" w:cs="仿宋"/>
          <w:b/>
          <w:bCs/>
          <w:sz w:val="24"/>
          <w:highlight w:val="yellow"/>
          <w:u w:val="single"/>
        </w:rPr>
        <w:t>14</w:t>
      </w:r>
      <w:r>
        <w:rPr>
          <w:rFonts w:hint="eastAsia" w:ascii="宋体" w:hAnsi="宋体" w:eastAsia="宋体" w:cs="仿宋"/>
          <w:b/>
          <w:bCs/>
          <w:sz w:val="24"/>
          <w:highlight w:val="yellow"/>
          <w:u w:val="single"/>
        </w:rPr>
        <w:t>:</w:t>
      </w:r>
      <w:r>
        <w:rPr>
          <w:rFonts w:hint="eastAsia" w:ascii="宋体" w:hAnsi="宋体" w:eastAsia="宋体" w:cs="仿宋"/>
          <w:b/>
          <w:bCs/>
          <w:sz w:val="24"/>
          <w:highlight w:val="yellow"/>
          <w:u w:val="single"/>
          <w:lang w:val="en-US" w:eastAsia="zh-CN"/>
        </w:rPr>
        <w:t>3</w:t>
      </w:r>
      <w:r>
        <w:rPr>
          <w:rFonts w:hint="eastAsia" w:ascii="宋体" w:hAnsi="宋体" w:eastAsia="宋体" w:cs="仿宋"/>
          <w:b/>
          <w:bCs/>
          <w:sz w:val="24"/>
          <w:highlight w:val="yellow"/>
          <w:u w:val="single"/>
        </w:rPr>
        <w:t>0</w:t>
      </w:r>
      <w:r>
        <w:rPr>
          <w:rFonts w:hint="eastAsia" w:ascii="宋体" w:hAnsi="宋体" w:eastAsia="宋体" w:cs="仿宋"/>
          <w:bCs/>
          <w:sz w:val="24"/>
        </w:rPr>
        <w:t>（北京时间）。</w:t>
      </w:r>
      <w:r>
        <w:rPr>
          <w:rFonts w:hint="eastAsia" w:ascii="宋体" w:hAnsi="宋体" w:eastAsia="宋体" w:cs="仿宋"/>
          <w:bCs/>
          <w:color w:val="000000"/>
          <w:sz w:val="24"/>
        </w:rPr>
        <w:t>请报价人以密封报价文件于唱价日期截止前递交至</w:t>
      </w:r>
      <w:r>
        <w:rPr>
          <w:rFonts w:hint="eastAsia" w:ascii="宋体" w:hAnsi="宋体" w:eastAsia="宋体" w:cs="仿宋"/>
          <w:bCs/>
          <w:color w:val="000000"/>
          <w:sz w:val="24"/>
          <w:lang w:val="en-US" w:eastAsia="zh-CN"/>
        </w:rPr>
        <w:t>中铝</w:t>
      </w:r>
      <w:r>
        <w:rPr>
          <w:rFonts w:hint="eastAsia" w:ascii="宋体" w:hAnsi="宋体" w:eastAsia="宋体" w:cs="仿宋"/>
          <w:bCs/>
          <w:color w:val="000000"/>
          <w:sz w:val="24"/>
        </w:rPr>
        <w:t>中州铝业</w:t>
      </w:r>
      <w:r>
        <w:rPr>
          <w:rFonts w:hint="eastAsia" w:ascii="宋体" w:hAnsi="宋体" w:eastAsia="宋体" w:cs="仿宋"/>
          <w:bCs/>
          <w:color w:val="000000"/>
          <w:sz w:val="24"/>
          <w:lang w:val="en-US" w:eastAsia="zh-CN"/>
        </w:rPr>
        <w:t>有限公司</w:t>
      </w:r>
      <w:r>
        <w:rPr>
          <w:rFonts w:hint="eastAsia" w:ascii="宋体" w:hAnsi="宋体" w:eastAsia="宋体" w:cs="仿宋"/>
          <w:bCs/>
          <w:color w:val="000000"/>
          <w:sz w:val="24"/>
        </w:rPr>
        <w:t>投资</w:t>
      </w:r>
      <w:r>
        <w:rPr>
          <w:rFonts w:hint="eastAsia" w:ascii="宋体" w:hAnsi="宋体" w:eastAsia="宋体" w:cs="仿宋"/>
          <w:bCs/>
          <w:color w:val="000000"/>
          <w:sz w:val="24"/>
          <w:lang w:val="en-US" w:eastAsia="zh-CN"/>
        </w:rPr>
        <w:t>管理</w:t>
      </w:r>
      <w:r>
        <w:rPr>
          <w:rFonts w:hint="eastAsia" w:ascii="宋体" w:hAnsi="宋体" w:eastAsia="宋体" w:cs="仿宋"/>
          <w:bCs/>
          <w:color w:val="000000"/>
          <w:sz w:val="24"/>
        </w:rPr>
        <w:t>部，且需在截止日期前将电子版报价文件（扫描盖章P</w:t>
      </w:r>
      <w:r>
        <w:rPr>
          <w:rFonts w:ascii="宋体" w:hAnsi="宋体" w:eastAsia="宋体" w:cs="仿宋"/>
          <w:bCs/>
          <w:color w:val="000000"/>
          <w:sz w:val="24"/>
        </w:rPr>
        <w:t>DF</w:t>
      </w:r>
      <w:r>
        <w:rPr>
          <w:rFonts w:hint="eastAsia" w:ascii="宋体" w:hAnsi="宋体" w:eastAsia="宋体" w:cs="仿宋"/>
          <w:bCs/>
          <w:color w:val="000000"/>
          <w:sz w:val="24"/>
        </w:rPr>
        <w:t>格式）发至指定邮箱：</w:t>
      </w:r>
      <w:r>
        <w:rPr>
          <w:rFonts w:hint="eastAsia" w:ascii="宋体" w:hAnsi="宋体" w:eastAsia="宋体" w:cs="仿宋"/>
          <w:bCs/>
          <w:color w:val="000000"/>
          <w:sz w:val="24"/>
          <w:lang w:eastAsia="zh-CN"/>
        </w:rPr>
        <w:t>jw_tian731@chinalco.com.cn</w:t>
      </w:r>
    </w:p>
    <w:p>
      <w:pPr>
        <w:autoSpaceDN w:val="0"/>
        <w:spacing w:line="360" w:lineRule="auto"/>
        <w:ind w:firstLine="480" w:firstLineChars="0"/>
        <w:textAlignment w:val="center"/>
        <w:rPr>
          <w:rFonts w:ascii="宋体" w:hAnsi="宋体" w:eastAsia="宋体" w:cs="仿宋"/>
          <w:bCs/>
          <w:color w:val="000000"/>
          <w:sz w:val="24"/>
        </w:rPr>
      </w:pPr>
      <w:r>
        <w:rPr>
          <w:rFonts w:hint="eastAsia" w:ascii="宋体" w:hAnsi="宋体" w:eastAsia="宋体" w:cs="仿宋"/>
          <w:bCs/>
          <w:color w:val="000000"/>
          <w:sz w:val="24"/>
        </w:rPr>
        <w:t>6.2 唱价地点：中铝中州铝业有限公司</w:t>
      </w:r>
      <w:r>
        <w:rPr>
          <w:rFonts w:hint="eastAsia" w:ascii="宋体" w:hAnsi="宋体" w:eastAsia="宋体" w:cs="仿宋"/>
          <w:bCs/>
          <w:color w:val="000000"/>
          <w:sz w:val="24"/>
          <w:lang w:val="en-US" w:eastAsia="zh-CN"/>
        </w:rPr>
        <w:t>一楼</w:t>
      </w:r>
      <w:r>
        <w:rPr>
          <w:rFonts w:hint="eastAsia" w:ascii="宋体" w:hAnsi="宋体" w:eastAsia="宋体" w:cs="仿宋"/>
          <w:bCs/>
          <w:color w:val="000000"/>
          <w:sz w:val="24"/>
        </w:rPr>
        <w:t>会议室</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zh-CN" w:bidi="ar-SA"/>
        </w:rPr>
      </w:pPr>
      <w:bookmarkStart w:id="46" w:name="_Toc517804010"/>
      <w:bookmarkStart w:id="47" w:name="_Toc528139662"/>
      <w:bookmarkStart w:id="48" w:name="_Toc15279"/>
      <w:bookmarkStart w:id="49" w:name="_Toc28948"/>
      <w:bookmarkStart w:id="50" w:name="_Toc27214"/>
      <w:bookmarkStart w:id="51" w:name="_Toc3572"/>
      <w:r>
        <w:rPr>
          <w:rFonts w:hint="eastAsia" w:ascii="仿宋" w:hAnsi="仿宋" w:eastAsia="仿宋" w:cs="仿宋"/>
          <w:b/>
          <w:bCs w:val="0"/>
          <w:color w:val="000000"/>
          <w:kern w:val="2"/>
          <w:sz w:val="28"/>
          <w:szCs w:val="28"/>
          <w:lang w:val="en-US" w:eastAsia="ar-SA" w:bidi="ar-SA"/>
        </w:rPr>
        <w:t>7.</w:t>
      </w:r>
      <w:bookmarkEnd w:id="46"/>
      <w:bookmarkEnd w:id="47"/>
      <w:r>
        <w:rPr>
          <w:rFonts w:hint="eastAsia" w:ascii="仿宋" w:hAnsi="仿宋" w:eastAsia="仿宋" w:cs="仿宋"/>
          <w:b/>
          <w:bCs w:val="0"/>
          <w:color w:val="000000"/>
          <w:kern w:val="2"/>
          <w:sz w:val="28"/>
          <w:szCs w:val="28"/>
          <w:lang w:val="en-US" w:eastAsia="zh-CN" w:bidi="ar-SA"/>
        </w:rPr>
        <w:t>监督部门</w:t>
      </w:r>
      <w:bookmarkEnd w:id="48"/>
      <w:bookmarkEnd w:id="49"/>
      <w:bookmarkEnd w:id="50"/>
      <w:bookmarkEnd w:id="51"/>
    </w:p>
    <w:p>
      <w:pPr>
        <w:autoSpaceDN w:val="0"/>
        <w:spacing w:line="360" w:lineRule="auto"/>
        <w:ind w:firstLine="480" w:firstLineChars="0"/>
        <w:textAlignment w:val="center"/>
        <w:rPr>
          <w:rFonts w:ascii="宋体" w:hAnsi="宋体" w:eastAsia="宋体" w:cs="仿宋"/>
          <w:bCs/>
          <w:color w:val="000000"/>
          <w:sz w:val="24"/>
        </w:rPr>
      </w:pPr>
      <w:r>
        <w:rPr>
          <w:rFonts w:hint="eastAsia" w:ascii="宋体" w:hAnsi="宋体" w:eastAsia="宋体" w:cs="仿宋"/>
          <w:bCs/>
          <w:color w:val="000000"/>
          <w:sz w:val="24"/>
        </w:rPr>
        <w:t>本采购项目的监督部门为中铝中州铝业有限公司纪委工作部。</w:t>
      </w:r>
    </w:p>
    <w:p>
      <w:pPr>
        <w:autoSpaceDN w:val="0"/>
        <w:spacing w:line="360" w:lineRule="auto"/>
        <w:ind w:firstLine="480" w:firstLineChars="0"/>
        <w:textAlignment w:val="center"/>
        <w:rPr>
          <w:rFonts w:hint="eastAsia" w:ascii="宋体" w:hAnsi="宋体" w:eastAsia="宋体" w:cs="仿宋"/>
          <w:bCs/>
          <w:color w:val="000000"/>
          <w:sz w:val="24"/>
        </w:rPr>
      </w:pPr>
      <w:r>
        <w:rPr>
          <w:rFonts w:hint="eastAsia" w:ascii="宋体" w:hAnsi="宋体" w:eastAsia="宋体" w:cs="仿宋"/>
          <w:bCs/>
          <w:color w:val="000000"/>
          <w:sz w:val="24"/>
        </w:rPr>
        <w:t>电话：0391-3503580</w:t>
      </w:r>
    </w:p>
    <w:p>
      <w:pPr>
        <w:autoSpaceDN w:val="0"/>
        <w:spacing w:line="360" w:lineRule="auto"/>
        <w:ind w:firstLine="480" w:firstLineChars="0"/>
        <w:textAlignment w:val="center"/>
        <w:rPr>
          <w:rFonts w:ascii="宋体" w:hAnsi="宋体" w:eastAsia="宋体" w:cs="仿宋"/>
          <w:bCs/>
          <w:color w:val="000000"/>
          <w:sz w:val="24"/>
        </w:rPr>
      </w:pPr>
      <w:r>
        <w:rPr>
          <w:rFonts w:hint="eastAsia" w:ascii="宋体" w:hAnsi="宋体" w:eastAsia="宋体" w:cs="仿宋"/>
          <w:bCs/>
          <w:color w:val="000000"/>
          <w:sz w:val="24"/>
        </w:rPr>
        <w:t>邮箱：zzlyjw</w:t>
      </w:r>
      <w:r>
        <w:rPr>
          <w:rFonts w:ascii="宋体" w:hAnsi="宋体" w:eastAsia="宋体" w:cs="仿宋"/>
          <w:bCs/>
          <w:color w:val="000000"/>
          <w:sz w:val="24"/>
        </w:rPr>
        <w:t>02@126.</w:t>
      </w:r>
      <w:r>
        <w:rPr>
          <w:rFonts w:hint="eastAsia" w:ascii="宋体" w:hAnsi="宋体" w:eastAsia="宋体" w:cs="仿宋"/>
          <w:bCs/>
          <w:color w:val="000000"/>
          <w:sz w:val="24"/>
        </w:rPr>
        <w:t>com</w:t>
      </w:r>
    </w:p>
    <w:p>
      <w:pPr>
        <w:keepNext/>
        <w:keepLines/>
        <w:widowControl w:val="0"/>
        <w:tabs>
          <w:tab w:val="left" w:pos="0"/>
        </w:tabs>
        <w:suppressAutoHyphens/>
        <w:spacing w:before="260" w:after="260" w:line="408" w:lineRule="auto"/>
        <w:ind w:left="576" w:hanging="576"/>
        <w:jc w:val="both"/>
        <w:outlineLvl w:val="1"/>
        <w:rPr>
          <w:rFonts w:ascii="仿宋" w:hAnsi="仿宋" w:eastAsia="仿宋" w:cs="仿宋"/>
          <w:b/>
          <w:bCs w:val="0"/>
          <w:color w:val="000000"/>
          <w:kern w:val="2"/>
          <w:sz w:val="28"/>
          <w:szCs w:val="28"/>
          <w:lang w:val="en-US" w:eastAsia="ar-SA" w:bidi="ar-SA"/>
        </w:rPr>
      </w:pPr>
      <w:bookmarkStart w:id="52" w:name="_Toc528139663"/>
      <w:bookmarkStart w:id="53" w:name="_Toc14591"/>
      <w:bookmarkStart w:id="54" w:name="_Toc4689"/>
      <w:bookmarkStart w:id="55" w:name="_Toc24678"/>
      <w:bookmarkStart w:id="56" w:name="_Toc27179"/>
      <w:bookmarkStart w:id="57" w:name="_Toc517804011"/>
      <w:r>
        <w:rPr>
          <w:rFonts w:hint="eastAsia" w:ascii="仿宋" w:hAnsi="仿宋" w:eastAsia="仿宋" w:cs="仿宋"/>
          <w:b/>
          <w:bCs w:val="0"/>
          <w:color w:val="000000"/>
          <w:kern w:val="2"/>
          <w:sz w:val="28"/>
          <w:szCs w:val="28"/>
          <w:lang w:val="en-US" w:eastAsia="ar-SA" w:bidi="ar-SA"/>
        </w:rPr>
        <w:t>8. 联系方式</w:t>
      </w:r>
      <w:bookmarkEnd w:id="52"/>
      <w:bookmarkEnd w:id="53"/>
      <w:bookmarkEnd w:id="54"/>
      <w:bookmarkEnd w:id="55"/>
      <w:bookmarkEnd w:id="56"/>
      <w:bookmarkEnd w:id="57"/>
    </w:p>
    <w:p>
      <w:pPr>
        <w:autoSpaceDN w:val="0"/>
        <w:spacing w:line="360" w:lineRule="auto"/>
        <w:ind w:firstLine="480" w:firstLineChars="0"/>
        <w:textAlignment w:val="center"/>
        <w:rPr>
          <w:rFonts w:hint="eastAsia" w:ascii="宋体" w:hAnsi="宋体" w:eastAsia="宋体" w:cs="仿宋"/>
          <w:bCs/>
          <w:color w:val="000000"/>
          <w:sz w:val="24"/>
          <w:lang w:eastAsia="zh-CN"/>
        </w:rPr>
      </w:pPr>
      <w:r>
        <w:rPr>
          <w:rFonts w:hint="eastAsia" w:ascii="宋体" w:hAnsi="宋体" w:eastAsia="宋体" w:cs="仿宋"/>
          <w:bCs/>
          <w:color w:val="000000"/>
          <w:sz w:val="24"/>
        </w:rPr>
        <w:t>采购人：</w:t>
      </w:r>
      <w:r>
        <w:rPr>
          <w:rFonts w:hint="eastAsia" w:ascii="宋体" w:hAnsi="宋体" w:eastAsia="宋体" w:cs="仿宋"/>
          <w:bCs/>
          <w:color w:val="000000"/>
          <w:sz w:val="24"/>
          <w:lang w:eastAsia="zh-CN"/>
        </w:rPr>
        <w:t>中铝中州铝业有限公司</w:t>
      </w:r>
    </w:p>
    <w:p>
      <w:pPr>
        <w:autoSpaceDN w:val="0"/>
        <w:spacing w:line="360" w:lineRule="auto"/>
        <w:ind w:firstLine="480" w:firstLineChars="0"/>
        <w:textAlignment w:val="center"/>
        <w:rPr>
          <w:rFonts w:ascii="宋体" w:hAnsi="宋体" w:eastAsia="宋体" w:cs="仿宋"/>
          <w:bCs/>
          <w:color w:val="000000"/>
          <w:sz w:val="24"/>
        </w:rPr>
      </w:pPr>
      <w:r>
        <w:rPr>
          <w:rFonts w:hint="eastAsia" w:ascii="宋体" w:hAnsi="宋体" w:eastAsia="宋体" w:cs="仿宋"/>
          <w:bCs/>
          <w:color w:val="000000"/>
          <w:sz w:val="24"/>
        </w:rPr>
        <w:t>地  址：河南省焦作市修武县七贤镇</w:t>
      </w:r>
    </w:p>
    <w:p>
      <w:pPr>
        <w:autoSpaceDN w:val="0"/>
        <w:spacing w:line="360" w:lineRule="auto"/>
        <w:ind w:firstLine="480" w:firstLineChars="0"/>
        <w:textAlignment w:val="center"/>
        <w:rPr>
          <w:rFonts w:hint="eastAsia" w:ascii="宋体" w:hAnsi="宋体" w:eastAsia="宋体" w:cs="仿宋"/>
          <w:bCs/>
          <w:color w:val="000000"/>
          <w:sz w:val="24"/>
          <w:lang w:eastAsia="zh-CN"/>
        </w:rPr>
      </w:pPr>
      <w:r>
        <w:rPr>
          <w:rFonts w:hint="eastAsia" w:ascii="宋体" w:hAnsi="宋体" w:eastAsia="宋体" w:cs="仿宋"/>
          <w:bCs/>
          <w:color w:val="000000"/>
          <w:sz w:val="24"/>
        </w:rPr>
        <w:t>联系人：</w:t>
      </w:r>
      <w:r>
        <w:rPr>
          <w:rFonts w:hint="eastAsia" w:ascii="宋体" w:hAnsi="宋体" w:eastAsia="宋体" w:cs="仿宋"/>
          <w:bCs/>
          <w:color w:val="000000"/>
          <w:sz w:val="24"/>
          <w:lang w:val="en-US" w:eastAsia="zh-CN"/>
        </w:rPr>
        <w:t>田佳雯</w:t>
      </w:r>
    </w:p>
    <w:p>
      <w:pPr>
        <w:autoSpaceDN w:val="0"/>
        <w:spacing w:line="360" w:lineRule="auto"/>
        <w:ind w:firstLine="480" w:firstLineChars="0"/>
        <w:textAlignment w:val="center"/>
        <w:rPr>
          <w:rFonts w:hint="default" w:ascii="宋体" w:hAnsi="宋体" w:eastAsia="宋体" w:cs="仿宋"/>
          <w:bCs/>
          <w:color w:val="000000"/>
          <w:sz w:val="24"/>
          <w:lang w:val="en-US" w:eastAsia="zh-CN"/>
        </w:rPr>
      </w:pPr>
      <w:r>
        <w:rPr>
          <w:rFonts w:hint="eastAsia" w:ascii="宋体" w:hAnsi="宋体" w:eastAsia="宋体" w:cs="仿宋"/>
          <w:bCs/>
          <w:color w:val="000000"/>
          <w:sz w:val="24"/>
        </w:rPr>
        <w:t>电  话：</w:t>
      </w:r>
      <w:r>
        <w:rPr>
          <w:rFonts w:hint="eastAsia" w:ascii="宋体" w:hAnsi="宋体" w:eastAsia="宋体" w:cs="仿宋"/>
          <w:bCs/>
          <w:color w:val="000000"/>
          <w:sz w:val="24"/>
          <w:lang w:val="en-US" w:eastAsia="zh-CN"/>
        </w:rPr>
        <w:t>13569156305</w:t>
      </w:r>
    </w:p>
    <w:p>
      <w:pPr>
        <w:autoSpaceDN w:val="0"/>
        <w:spacing w:line="360" w:lineRule="auto"/>
        <w:ind w:firstLine="480" w:firstLineChars="0"/>
        <w:textAlignment w:val="center"/>
        <w:rPr>
          <w:rFonts w:hint="eastAsia" w:ascii="宋体" w:hAnsi="宋体" w:eastAsia="宋体" w:cs="仿宋"/>
          <w:bCs/>
          <w:color w:val="000000"/>
          <w:sz w:val="24"/>
          <w:lang w:val="en-US" w:eastAsia="zh-CN"/>
        </w:rPr>
      </w:pPr>
      <w:r>
        <w:rPr>
          <w:rFonts w:hint="eastAsia" w:ascii="宋体" w:hAnsi="宋体" w:eastAsia="宋体" w:cs="仿宋"/>
          <w:bCs/>
          <w:color w:val="000000"/>
          <w:sz w:val="24"/>
        </w:rPr>
        <w:t>电子邮箱：</w:t>
      </w:r>
      <w:r>
        <w:rPr>
          <w:rFonts w:hint="eastAsia" w:ascii="宋体" w:hAnsi="宋体" w:eastAsia="宋体" w:cs="仿宋"/>
          <w:bCs/>
          <w:color w:val="000000"/>
          <w:sz w:val="24"/>
          <w:lang w:val="en-US" w:eastAsia="zh-CN"/>
        </w:rPr>
        <w:t>jw_tian731@chinalco.com.cn</w:t>
      </w:r>
    </w:p>
    <w:p>
      <w:pPr>
        <w:spacing w:line="240" w:lineRule="auto"/>
        <w:ind w:firstLine="0" w:firstLineChars="0"/>
        <w:rPr>
          <w:rFonts w:ascii="Calibri" w:hAnsi="Calibri" w:eastAsia="宋体" w:cs="Times New Roman"/>
          <w:sz w:val="21"/>
        </w:rPr>
      </w:pPr>
    </w:p>
    <w:p>
      <w:pPr>
        <w:spacing w:line="240" w:lineRule="auto"/>
        <w:ind w:firstLine="0" w:firstLineChars="0"/>
        <w:rPr>
          <w:rFonts w:hint="eastAsia" w:ascii="宋体" w:hAnsi="宋体" w:eastAsia="宋体" w:cs="Times New Roman"/>
          <w:b/>
          <w:bCs w:val="0"/>
          <w:color w:val="000000"/>
          <w:sz w:val="32"/>
          <w:szCs w:val="32"/>
        </w:rPr>
      </w:pPr>
      <w:r>
        <w:rPr>
          <w:rFonts w:hint="eastAsia" w:ascii="宋体" w:hAnsi="宋体" w:eastAsia="宋体" w:cs="Times New Roman"/>
          <w:b/>
          <w:bCs w:val="0"/>
          <w:color w:val="000000"/>
          <w:sz w:val="32"/>
          <w:szCs w:val="32"/>
        </w:rPr>
        <w:br w:type="page"/>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448DC"/>
    <w:multiLevelType w:val="singleLevel"/>
    <w:tmpl w:val="70F448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C14EB"/>
    <w:rsid w:val="0E350BD9"/>
    <w:rsid w:val="108B52A6"/>
    <w:rsid w:val="159003D3"/>
    <w:rsid w:val="1D141D87"/>
    <w:rsid w:val="1E2137AF"/>
    <w:rsid w:val="3C0D4389"/>
    <w:rsid w:val="3F4620A4"/>
    <w:rsid w:val="46064CFC"/>
    <w:rsid w:val="68CA18DF"/>
    <w:rsid w:val="7D356D6C"/>
    <w:rsid w:val="7FAC1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9"/>
    <w:qFormat/>
    <w:uiPriority w:val="0"/>
    <w:pPr>
      <w:spacing w:line="560" w:lineRule="exact"/>
      <w:ind w:firstLine="883"/>
      <w:outlineLvl w:val="0"/>
    </w:pPr>
    <w:rPr>
      <w:rFonts w:ascii="宋体" w:hAnsi="宋体" w:eastAsia="黑体"/>
      <w:sz w:val="28"/>
      <w:szCs w:val="43"/>
    </w:rPr>
  </w:style>
  <w:style w:type="paragraph" w:styleId="3">
    <w:name w:val="heading 2"/>
    <w:basedOn w:val="1"/>
    <w:next w:val="1"/>
    <w:semiHidden/>
    <w:unhideWhenUsed/>
    <w:qFormat/>
    <w:uiPriority w:val="0"/>
    <w:pPr>
      <w:keepNext/>
      <w:keepLines/>
      <w:adjustRightInd w:val="0"/>
      <w:snapToGrid w:val="0"/>
      <w:spacing w:line="560" w:lineRule="exact"/>
      <w:ind w:firstLine="883"/>
      <w:outlineLvl w:val="1"/>
    </w:pPr>
    <w:rPr>
      <w:rFonts w:ascii="Arial" w:hAnsi="Arial" w:eastAsia="楷体_GB2312"/>
      <w:bCs/>
      <w:sz w:val="28"/>
      <w:szCs w:val="32"/>
    </w:rPr>
  </w:style>
  <w:style w:type="paragraph" w:styleId="4">
    <w:name w:val="heading 3"/>
    <w:basedOn w:val="5"/>
    <w:next w:val="2"/>
    <w:link w:val="8"/>
    <w:semiHidden/>
    <w:unhideWhenUsed/>
    <w:qFormat/>
    <w:uiPriority w:val="0"/>
    <w:pPr>
      <w:keepNext/>
      <w:keepLines/>
      <w:adjustRightInd w:val="0"/>
      <w:snapToGrid w:val="0"/>
      <w:spacing w:line="560" w:lineRule="exact"/>
      <w:outlineLvl w:val="2"/>
    </w:pPr>
    <w:rPr>
      <w:rFonts w:ascii="Arial" w:hAnsi="Arial" w:eastAsia="黑体"/>
      <w:b w:val="0"/>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8">
    <w:name w:val="标题 3 字符"/>
    <w:link w:val="4"/>
    <w:qFormat/>
    <w:uiPriority w:val="0"/>
    <w:rPr>
      <w:rFonts w:ascii="Arial" w:hAnsi="Arial" w:eastAsia="黑体"/>
      <w:szCs w:val="22"/>
    </w:rPr>
  </w:style>
  <w:style w:type="character" w:customStyle="1" w:styleId="9">
    <w:name w:val="标题 1 字符"/>
    <w:link w:val="2"/>
    <w:qFormat/>
    <w:uiPriority w:val="0"/>
    <w:rPr>
      <w:rFonts w:ascii="宋体" w:hAnsi="宋体" w:eastAsia="黑体"/>
      <w:sz w:val="28"/>
      <w:szCs w:val="4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2024-10-14T06:02:00Z</dcterms:created>
  <dc:creator>田佳雯</dc:creator>
  <cp:lastModifiedBy>田佳雯</cp:lastModifiedBy>
  <dcterms:modified xsi:type="dcterms:W3CDTF">2024-10-14T06:02:59Z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4D929F878A9542C3BBD0B57F974726A7</vt:lpwstr>
  </property>
</Properties>
</file>