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cs="宋体"/>
          <w:b/>
          <w:bCs/>
          <w:color w:val="000000" w:themeColor="text1"/>
          <w:sz w:val="40"/>
          <w:szCs w:val="40"/>
          <w:lang w:val="en-US" w:eastAsia="zh-CN"/>
          <w14:textFill>
            <w14:solidFill>
              <w14:schemeClr w14:val="tx1"/>
            </w14:solidFill>
          </w14:textFill>
        </w:rPr>
      </w:pPr>
      <w:r>
        <w:rPr>
          <w:rFonts w:hint="eastAsia" w:ascii="宋体" w:hAnsi="宋体" w:cs="宋体"/>
          <w:b/>
          <w:bCs/>
          <w:color w:val="000000" w:themeColor="text1"/>
          <w:sz w:val="40"/>
          <w:szCs w:val="40"/>
          <w:lang w:val="en-US" w:eastAsia="zh-CN"/>
          <w14:textFill>
            <w14:solidFill>
              <w14:schemeClr w14:val="tx1"/>
            </w14:solidFill>
          </w14:textFill>
        </w:rPr>
        <w:t>中铝中州铝业</w:t>
      </w:r>
      <w:r>
        <w:rPr>
          <w:rFonts w:hint="eastAsia" w:ascii="宋体" w:hAnsi="宋体" w:eastAsia="宋体" w:cs="宋体"/>
          <w:b/>
          <w:bCs/>
          <w:color w:val="000000" w:themeColor="text1"/>
          <w:sz w:val="40"/>
          <w:szCs w:val="40"/>
          <w:lang w:val="en-US" w:eastAsia="zh-CN"/>
          <w14:textFill>
            <w14:solidFill>
              <w14:schemeClr w14:val="tx1"/>
            </w14:solidFill>
          </w14:textFill>
        </w:rPr>
        <w:t>有</w:t>
      </w:r>
      <w:r>
        <w:rPr>
          <w:rFonts w:hint="eastAsia" w:ascii="宋体" w:hAnsi="宋体" w:cs="宋体"/>
          <w:b/>
          <w:bCs/>
          <w:color w:val="000000" w:themeColor="text1"/>
          <w:sz w:val="40"/>
          <w:szCs w:val="40"/>
          <w:lang w:val="en-US" w:eastAsia="zh-CN"/>
          <w14:textFill>
            <w14:solidFill>
              <w14:schemeClr w14:val="tx1"/>
            </w14:solidFill>
          </w14:textFill>
        </w:rPr>
        <w:t>限公司部分物流路线进行道路标线</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40"/>
          <w:szCs w:val="40"/>
          <w:lang w:val="en-US" w:eastAsia="zh-CN"/>
          <w14:textFill>
            <w14:solidFill>
              <w14:schemeClr w14:val="tx1"/>
            </w14:solidFill>
          </w14:textFill>
        </w:rPr>
      </w:pPr>
      <w:r>
        <w:rPr>
          <w:rFonts w:hint="eastAsia" w:ascii="宋体" w:hAnsi="宋体" w:cs="宋体"/>
          <w:b/>
          <w:bCs/>
          <w:color w:val="000000" w:themeColor="text1"/>
          <w:sz w:val="40"/>
          <w:szCs w:val="40"/>
          <w:lang w:val="en-US" w:eastAsia="zh-CN"/>
          <w14:textFill>
            <w14:solidFill>
              <w14:schemeClr w14:val="tx1"/>
            </w14:solidFill>
          </w14:textFill>
        </w:rPr>
        <w:t>补划及完善交通标志项目公开询比采购公告</w:t>
      </w:r>
    </w:p>
    <w:p>
      <w:pPr>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
          <w:bCs/>
          <w:color w:val="000000" w:themeColor="text1"/>
          <w:sz w:val="28"/>
          <w:szCs w:val="28"/>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安全环保健康部</w:t>
      </w:r>
      <w:r>
        <w:rPr>
          <w:rFonts w:hint="eastAsia" w:asciiTheme="minorEastAsia" w:hAnsiTheme="minorEastAsia" w:eastAsiaTheme="minorEastAsia" w:cstheme="minorEastAsia"/>
          <w:color w:val="000000" w:themeColor="text1"/>
          <w:sz w:val="24"/>
          <w14:textFill>
            <w14:solidFill>
              <w14:schemeClr w14:val="tx1"/>
            </w14:solidFill>
          </w14:textFill>
        </w:rPr>
        <w:t>（以下简称采购单位）受</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河南中州铝厂有限公司</w:t>
      </w:r>
      <w:r>
        <w:rPr>
          <w:rFonts w:hint="eastAsia" w:asciiTheme="minorEastAsia" w:hAnsiTheme="minorEastAsia" w:eastAsiaTheme="minorEastAsia" w:cstheme="minorEastAsia"/>
          <w:color w:val="000000" w:themeColor="text1"/>
          <w:sz w:val="24"/>
          <w14:textFill>
            <w14:solidFill>
              <w14:schemeClr w14:val="tx1"/>
            </w14:solidFill>
          </w14:textFill>
        </w:rPr>
        <w:t>委托，</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对部分物流路线进行道路标线补划及完善交通标志项目进行公开询比采购，现公开</w:t>
      </w:r>
      <w:r>
        <w:rPr>
          <w:rFonts w:hint="eastAsia" w:asciiTheme="minorEastAsia" w:hAnsiTheme="minorEastAsia" w:eastAsiaTheme="minorEastAsia" w:cstheme="minorEastAsia"/>
          <w:color w:val="000000" w:themeColor="text1"/>
          <w:sz w:val="24"/>
          <w14:textFill>
            <w14:solidFill>
              <w14:schemeClr w14:val="tx1"/>
            </w14:solidFill>
          </w14:textFill>
        </w:rPr>
        <w:t>邀请国内符合资格条件和有同类项目良好业绩的供应商参加该项目的</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公开询比采购活动</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采购编号：</w:t>
      </w:r>
      <w:r>
        <w:rPr>
          <w:rFonts w:hint="eastAsia" w:asciiTheme="minorEastAsia" w:hAnsiTheme="minorEastAsia" w:eastAsiaTheme="minorEastAsia" w:cstheme="minorEastAsia"/>
          <w:color w:val="auto"/>
          <w:sz w:val="24"/>
          <w:highlight w:val="none"/>
          <w:u w:val="single"/>
          <w:lang w:val="en-US" w:eastAsia="zh-CN"/>
        </w:rPr>
        <w:t xml:space="preserve"> CG-ZZ-202410-AHB-STHJ-020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采购项目的名称、</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采购范围</w:t>
      </w:r>
      <w:r>
        <w:rPr>
          <w:rFonts w:hint="eastAsia" w:asciiTheme="minorEastAsia" w:hAnsiTheme="minorEastAsia" w:eastAsiaTheme="minorEastAsia" w:cstheme="minorEastAsia"/>
          <w:color w:val="000000" w:themeColor="text1"/>
          <w:sz w:val="24"/>
          <w14:textFill>
            <w14:solidFill>
              <w14:schemeClr w14:val="tx1"/>
            </w14:solidFill>
          </w14:textFill>
        </w:rPr>
        <w:t>、数量、交货地点：</w:t>
      </w:r>
    </w:p>
    <w:tbl>
      <w:tblPr>
        <w:tblStyle w:val="7"/>
        <w:tblpPr w:leftFromText="180" w:rightFromText="180" w:vertAnchor="text" w:horzAnchor="page" w:tblpXSpec="center" w:tblpY="539"/>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750"/>
        <w:gridCol w:w="886"/>
        <w:gridCol w:w="915"/>
        <w:gridCol w:w="1286"/>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020" w:type="dxa"/>
            <w:gridSpan w:val="6"/>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厂区道路标线</w:t>
            </w:r>
            <w:r>
              <w:rPr>
                <w:rFonts w:hint="eastAsia" w:ascii="宋体" w:hAnsi="宋体" w:eastAsia="宋体" w:cs="宋体"/>
                <w:b/>
                <w:bCs/>
                <w:color w:val="000000"/>
                <w:kern w:val="0"/>
                <w:sz w:val="24"/>
                <w:szCs w:val="24"/>
                <w:lang w:eastAsia="zh-CN"/>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位置</w:t>
            </w:r>
          </w:p>
        </w:tc>
        <w:tc>
          <w:tcPr>
            <w:tcW w:w="1750"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标线名称</w:t>
            </w:r>
          </w:p>
        </w:tc>
        <w:tc>
          <w:tcPr>
            <w:tcW w:w="1801" w:type="dxa"/>
            <w:gridSpan w:val="2"/>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标线规格（米）</w:t>
            </w:r>
          </w:p>
        </w:tc>
        <w:tc>
          <w:tcPr>
            <w:tcW w:w="1286"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标线</w:t>
            </w:r>
          </w:p>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数量</w:t>
            </w:r>
          </w:p>
        </w:tc>
        <w:tc>
          <w:tcPr>
            <w:tcW w:w="2185"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工程量</w:t>
            </w:r>
          </w:p>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eastAsia="zh-CN"/>
              </w:rPr>
              <w:t>(</w:t>
            </w:r>
            <w:r>
              <w:rPr>
                <w:rFonts w:hint="eastAsia" w:ascii="宋体" w:hAnsi="宋体" w:eastAsia="宋体" w:cs="宋体"/>
                <w:color w:val="000000"/>
                <w:sz w:val="24"/>
                <w:szCs w:val="24"/>
                <w:lang w:eastAsia="zh-CN"/>
              </w:rPr>
              <w:t>㎡</w:t>
            </w:r>
            <w:r>
              <w:rPr>
                <w:rFonts w:hint="eastAsia" w:ascii="宋体" w:hAnsi="宋体" w:eastAsia="宋体" w:cs="宋体"/>
                <w:b/>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b/>
                <w:bCs/>
                <w:color w:val="000000"/>
                <w:sz w:val="24"/>
                <w:szCs w:val="24"/>
              </w:rPr>
            </w:pPr>
          </w:p>
        </w:tc>
        <w:tc>
          <w:tcPr>
            <w:tcW w:w="1750"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b/>
                <w:bCs/>
                <w:color w:val="000000"/>
                <w:sz w:val="24"/>
                <w:szCs w:val="24"/>
              </w:rPr>
            </w:pPr>
          </w:p>
        </w:tc>
        <w:tc>
          <w:tcPr>
            <w:tcW w:w="886" w:type="dxa"/>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线长</w:t>
            </w:r>
          </w:p>
        </w:tc>
        <w:tc>
          <w:tcPr>
            <w:tcW w:w="915" w:type="dxa"/>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线宽</w:t>
            </w:r>
          </w:p>
        </w:tc>
        <w:tc>
          <w:tcPr>
            <w:tcW w:w="1286"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sz w:val="24"/>
                <w:szCs w:val="24"/>
              </w:rPr>
            </w:pPr>
          </w:p>
        </w:tc>
        <w:tc>
          <w:tcPr>
            <w:tcW w:w="2185"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经二路</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黄实线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15</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0.15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color w:val="000000"/>
                <w:sz w:val="24"/>
                <w:szCs w:val="24"/>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黄虚线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480</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0.15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停止线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0.45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color w:val="000000"/>
                <w:sz w:val="24"/>
                <w:szCs w:val="24"/>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斑马线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0.45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eastAsia="zh-CN"/>
              </w:rPr>
            </w:pPr>
            <w:r>
              <w:rPr>
                <w:rFonts w:hint="eastAsia" w:ascii="宋体" w:hAnsi="宋体" w:eastAsia="宋体" w:cs="宋体"/>
                <w:i w:val="0"/>
                <w:iCs w:val="0"/>
                <w:color w:val="000000"/>
                <w:kern w:val="0"/>
                <w:sz w:val="24"/>
                <w:szCs w:val="24"/>
                <w:u w:val="none"/>
                <w:lang w:val="en-US" w:eastAsia="zh-CN" w:bidi="ar"/>
              </w:rPr>
              <w:t>40条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经三路</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黄实线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15</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0.15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color w:val="000000"/>
                <w:sz w:val="24"/>
                <w:szCs w:val="24"/>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黄虚线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480</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0.15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98"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color w:val="000000"/>
                <w:sz w:val="24"/>
                <w:szCs w:val="24"/>
                <w:lang w:eastAsia="zh-CN"/>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停止线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0.45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98"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color w:val="000000"/>
                <w:sz w:val="24"/>
                <w:szCs w:val="24"/>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斑马线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0.45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40条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restart"/>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经四路</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黄实线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15</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0.15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eastAsia="zh-CN"/>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黄虚线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480</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0.15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color w:val="000000"/>
                <w:sz w:val="24"/>
                <w:szCs w:val="24"/>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停止线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0.45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斑马线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0.45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40条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9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合计</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274.50</w:t>
            </w: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按国标GB5768标准</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道路划线的施工过程遵循规范，包括测量放样、设置基准点、路面清扫、涂敷底油、涂敷标线等步骤，以确保标线的质量和使用效果‌。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p>
    <w:tbl>
      <w:tblPr>
        <w:tblStyle w:val="8"/>
        <w:tblpPr w:leftFromText="180" w:rightFromText="180" w:vertAnchor="page" w:horzAnchor="page" w:tblpX="1705" w:tblpY="1378"/>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391"/>
        <w:gridCol w:w="1162"/>
        <w:gridCol w:w="1163"/>
        <w:gridCol w:w="1163"/>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77" w:type="dxa"/>
            <w:gridSpan w:val="7"/>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bCs w:val="0"/>
                <w:sz w:val="24"/>
                <w:szCs w:val="24"/>
                <w:lang w:eastAsia="zh-CN"/>
              </w:rPr>
              <w:t>厂区道路增设更新交通标志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62" w:type="dxa"/>
            <w:vMerge w:val="restart"/>
            <w:vAlign w:val="center"/>
          </w:tcPr>
          <w:p>
            <w:pPr>
              <w:spacing w:line="320" w:lineRule="exact"/>
              <w:jc w:val="center"/>
              <w:rPr>
                <w:rFonts w:hint="eastAsia" w:ascii="宋体" w:hAnsi="宋体" w:eastAsia="宋体" w:cs="宋体"/>
                <w:b/>
                <w:sz w:val="24"/>
                <w:szCs w:val="24"/>
              </w:rPr>
            </w:pPr>
            <w:r>
              <w:rPr>
                <w:rFonts w:hint="eastAsia" w:asciiTheme="minorEastAsia" w:hAnsiTheme="minorEastAsia"/>
                <w:b/>
                <w:sz w:val="28"/>
                <w:szCs w:val="28"/>
              </w:rPr>
              <w:t>序</w:t>
            </w:r>
          </w:p>
        </w:tc>
        <w:tc>
          <w:tcPr>
            <w:tcW w:w="2391" w:type="dxa"/>
            <w:vMerge w:val="restart"/>
            <w:vAlign w:val="center"/>
          </w:tcPr>
          <w:p>
            <w:pPr>
              <w:spacing w:line="320" w:lineRule="exact"/>
              <w:jc w:val="center"/>
              <w:rPr>
                <w:rFonts w:hint="eastAsia" w:ascii="宋体" w:hAnsi="宋体" w:eastAsia="宋体" w:cs="宋体"/>
                <w:b/>
                <w:sz w:val="24"/>
                <w:szCs w:val="24"/>
              </w:rPr>
            </w:pPr>
            <w:r>
              <w:rPr>
                <w:rFonts w:hint="eastAsia" w:asciiTheme="minorEastAsia" w:hAnsiTheme="minorEastAsia"/>
                <w:b/>
                <w:sz w:val="28"/>
                <w:szCs w:val="28"/>
              </w:rPr>
              <w:t>名称</w:t>
            </w:r>
          </w:p>
        </w:tc>
        <w:tc>
          <w:tcPr>
            <w:tcW w:w="3488" w:type="dxa"/>
            <w:gridSpan w:val="3"/>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规格(mm)</w:t>
            </w:r>
          </w:p>
        </w:tc>
        <w:tc>
          <w:tcPr>
            <w:tcW w:w="968" w:type="dxa"/>
            <w:vMerge w:val="restart"/>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968" w:type="dxa"/>
            <w:vMerge w:val="restart"/>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2" w:type="dxa"/>
            <w:vMerge w:val="continue"/>
            <w:vAlign w:val="center"/>
          </w:tcPr>
          <w:p>
            <w:pPr>
              <w:spacing w:line="320" w:lineRule="exact"/>
              <w:jc w:val="center"/>
              <w:rPr>
                <w:rFonts w:hint="eastAsia" w:ascii="宋体" w:hAnsi="宋体" w:eastAsia="宋体" w:cs="宋体"/>
                <w:sz w:val="24"/>
                <w:szCs w:val="24"/>
              </w:rPr>
            </w:pPr>
          </w:p>
        </w:tc>
        <w:tc>
          <w:tcPr>
            <w:tcW w:w="2391" w:type="dxa"/>
            <w:vMerge w:val="continue"/>
            <w:vAlign w:val="center"/>
          </w:tcPr>
          <w:p>
            <w:pPr>
              <w:spacing w:line="320" w:lineRule="exact"/>
              <w:jc w:val="center"/>
              <w:rPr>
                <w:rFonts w:hint="eastAsia" w:ascii="宋体" w:hAnsi="宋体" w:eastAsia="宋体" w:cs="宋体"/>
                <w:sz w:val="24"/>
                <w:szCs w:val="24"/>
              </w:rPr>
            </w:pPr>
          </w:p>
        </w:tc>
        <w:tc>
          <w:tcPr>
            <w:tcW w:w="1162" w:type="dxa"/>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高度</w:t>
            </w:r>
          </w:p>
        </w:tc>
        <w:tc>
          <w:tcPr>
            <w:tcW w:w="1163" w:type="dxa"/>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宽度</w:t>
            </w:r>
          </w:p>
        </w:tc>
        <w:tc>
          <w:tcPr>
            <w:tcW w:w="1163" w:type="dxa"/>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厚度</w:t>
            </w:r>
          </w:p>
        </w:tc>
        <w:tc>
          <w:tcPr>
            <w:tcW w:w="968" w:type="dxa"/>
            <w:vMerge w:val="continue"/>
            <w:vAlign w:val="center"/>
          </w:tcPr>
          <w:p>
            <w:pPr>
              <w:spacing w:line="320" w:lineRule="exact"/>
              <w:jc w:val="center"/>
              <w:rPr>
                <w:rFonts w:hint="eastAsia" w:ascii="宋体" w:hAnsi="宋体" w:eastAsia="宋体" w:cs="宋体"/>
                <w:sz w:val="24"/>
                <w:szCs w:val="24"/>
              </w:rPr>
            </w:pPr>
          </w:p>
        </w:tc>
        <w:tc>
          <w:tcPr>
            <w:tcW w:w="968" w:type="dxa"/>
            <w:vMerge w:val="continue"/>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2" w:type="dxa"/>
            <w:vMerge w:val="restart"/>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91" w:type="dxa"/>
            <w:vAlign w:val="center"/>
          </w:tcPr>
          <w:p>
            <w:pPr>
              <w:spacing w:line="320" w:lineRule="exact"/>
              <w:jc w:val="center"/>
              <w:rPr>
                <w:rFonts w:hint="eastAsia" w:ascii="宋体" w:hAnsi="宋体" w:eastAsia="宋体" w:cs="宋体"/>
                <w:sz w:val="24"/>
                <w:szCs w:val="24"/>
              </w:rPr>
            </w:pPr>
            <w:r>
              <w:rPr>
                <w:rFonts w:hint="eastAsia" w:asciiTheme="minorEastAsia" w:hAnsiTheme="minorEastAsia"/>
                <w:sz w:val="28"/>
                <w:szCs w:val="28"/>
              </w:rPr>
              <w:t>引导标志牌</w:t>
            </w:r>
          </w:p>
        </w:tc>
        <w:tc>
          <w:tcPr>
            <w:tcW w:w="116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1500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3000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968" w:type="dxa"/>
            <w:vMerge w:val="restart"/>
            <w:vAlign w:val="center"/>
          </w:tcPr>
          <w:p>
            <w:pPr>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2" w:type="dxa"/>
            <w:vMerge w:val="continue"/>
            <w:vAlign w:val="center"/>
          </w:tcPr>
          <w:p>
            <w:pPr>
              <w:spacing w:line="320" w:lineRule="exact"/>
              <w:jc w:val="center"/>
              <w:rPr>
                <w:rFonts w:hint="eastAsia" w:ascii="宋体" w:hAnsi="宋体" w:eastAsia="宋体" w:cs="宋体"/>
                <w:sz w:val="24"/>
                <w:szCs w:val="24"/>
              </w:rPr>
            </w:pPr>
          </w:p>
        </w:tc>
        <w:tc>
          <w:tcPr>
            <w:tcW w:w="2391" w:type="dxa"/>
            <w:vAlign w:val="center"/>
          </w:tcPr>
          <w:p>
            <w:pPr>
              <w:spacing w:line="320" w:lineRule="exact"/>
              <w:jc w:val="center"/>
              <w:rPr>
                <w:rFonts w:hint="eastAsia" w:ascii="宋体" w:hAnsi="宋体" w:eastAsia="宋体" w:cs="宋体"/>
                <w:sz w:val="24"/>
                <w:szCs w:val="24"/>
              </w:rPr>
            </w:pPr>
            <w:r>
              <w:rPr>
                <w:rFonts w:hint="eastAsia" w:asciiTheme="minorEastAsia" w:hAnsiTheme="minorEastAsia"/>
                <w:sz w:val="28"/>
                <w:szCs w:val="28"/>
              </w:rPr>
              <w:t>双悬臂立杆</w:t>
            </w:r>
          </w:p>
        </w:tc>
        <w:tc>
          <w:tcPr>
            <w:tcW w:w="116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7500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Φ219</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968" w:type="dxa"/>
            <w:vMerge w:val="continue"/>
            <w:vAlign w:val="center"/>
          </w:tcPr>
          <w:p>
            <w:pPr>
              <w:spacing w:line="320" w:lineRule="exact"/>
              <w:jc w:val="center"/>
              <w:rPr>
                <w:rFonts w:hint="eastAsia" w:ascii="宋体" w:hAnsi="宋体" w:eastAsia="宋体" w:cs="宋体"/>
                <w:sz w:val="24"/>
                <w:szCs w:val="24"/>
              </w:rPr>
            </w:pPr>
          </w:p>
        </w:tc>
        <w:tc>
          <w:tcPr>
            <w:tcW w:w="968" w:type="dxa"/>
            <w:vMerge w:val="continue"/>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2" w:type="dxa"/>
            <w:vMerge w:val="restart"/>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391" w:type="dxa"/>
            <w:vAlign w:val="center"/>
          </w:tcPr>
          <w:p>
            <w:pPr>
              <w:spacing w:line="320" w:lineRule="exact"/>
              <w:jc w:val="center"/>
              <w:rPr>
                <w:rFonts w:hint="eastAsia" w:ascii="宋体" w:hAnsi="宋体" w:eastAsia="宋体" w:cs="宋体"/>
                <w:sz w:val="24"/>
                <w:szCs w:val="24"/>
              </w:rPr>
            </w:pPr>
            <w:r>
              <w:rPr>
                <w:rFonts w:hint="eastAsia" w:asciiTheme="minorEastAsia" w:hAnsiTheme="minorEastAsia"/>
                <w:sz w:val="28"/>
                <w:szCs w:val="28"/>
                <w:lang w:eastAsia="zh-CN"/>
              </w:rPr>
              <w:t>禁止右转标</w:t>
            </w:r>
            <w:r>
              <w:rPr>
                <w:rFonts w:hint="eastAsia" w:asciiTheme="minorEastAsia" w:hAnsiTheme="minorEastAsia"/>
                <w:sz w:val="28"/>
                <w:szCs w:val="28"/>
              </w:rPr>
              <w:t>志牌</w:t>
            </w:r>
          </w:p>
        </w:tc>
        <w:tc>
          <w:tcPr>
            <w:tcW w:w="2325" w:type="dxa"/>
            <w:gridSpan w:val="2"/>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w:t>
            </w:r>
            <w:r>
              <w:rPr>
                <w:rFonts w:hint="eastAsia" w:ascii="宋体" w:hAnsi="宋体" w:eastAsia="宋体" w:cs="宋体"/>
                <w:sz w:val="24"/>
                <w:szCs w:val="24"/>
                <w:lang w:val="en-US" w:eastAsia="zh-CN"/>
              </w:rPr>
              <w:t>80</w:t>
            </w:r>
            <w:r>
              <w:rPr>
                <w:rFonts w:hint="eastAsia" w:ascii="宋体" w:hAnsi="宋体" w:eastAsia="宋体" w:cs="宋体"/>
                <w:sz w:val="24"/>
                <w:szCs w:val="24"/>
              </w:rPr>
              <w:t>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2" w:type="dxa"/>
            <w:vMerge w:val="continue"/>
            <w:vAlign w:val="center"/>
          </w:tcPr>
          <w:p>
            <w:pPr>
              <w:spacing w:line="320" w:lineRule="exact"/>
              <w:jc w:val="center"/>
              <w:rPr>
                <w:rFonts w:hint="eastAsia" w:ascii="宋体" w:hAnsi="宋体" w:eastAsia="宋体" w:cs="宋体"/>
                <w:sz w:val="24"/>
                <w:szCs w:val="24"/>
              </w:rPr>
            </w:pPr>
          </w:p>
        </w:tc>
        <w:tc>
          <w:tcPr>
            <w:tcW w:w="2391" w:type="dxa"/>
            <w:vAlign w:val="center"/>
          </w:tcPr>
          <w:p>
            <w:pPr>
              <w:spacing w:line="320" w:lineRule="exact"/>
              <w:jc w:val="center"/>
              <w:rPr>
                <w:rFonts w:hint="eastAsia" w:ascii="宋体" w:hAnsi="宋体" w:eastAsia="宋体" w:cs="宋体"/>
                <w:sz w:val="24"/>
                <w:szCs w:val="24"/>
              </w:rPr>
            </w:pPr>
            <w:r>
              <w:rPr>
                <w:rFonts w:hint="eastAsia" w:asciiTheme="minorEastAsia" w:hAnsiTheme="minorEastAsia"/>
                <w:sz w:val="28"/>
                <w:szCs w:val="28"/>
                <w:lang w:eastAsia="zh-CN"/>
              </w:rPr>
              <w:t>单</w:t>
            </w:r>
            <w:r>
              <w:rPr>
                <w:rFonts w:hint="eastAsia" w:asciiTheme="minorEastAsia" w:hAnsiTheme="minorEastAsia"/>
                <w:sz w:val="28"/>
                <w:szCs w:val="28"/>
              </w:rPr>
              <w:t>立杆</w:t>
            </w:r>
          </w:p>
        </w:tc>
        <w:tc>
          <w:tcPr>
            <w:tcW w:w="116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Φ70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968" w:type="dxa"/>
            <w:vMerge w:val="continue"/>
            <w:vAlign w:val="center"/>
          </w:tcPr>
          <w:p>
            <w:pPr>
              <w:spacing w:line="320" w:lineRule="exact"/>
              <w:jc w:val="center"/>
              <w:rPr>
                <w:rFonts w:hint="eastAsia" w:ascii="宋体" w:hAnsi="宋体" w:eastAsia="宋体" w:cs="宋体"/>
                <w:sz w:val="24"/>
                <w:szCs w:val="24"/>
              </w:rPr>
            </w:pPr>
          </w:p>
        </w:tc>
        <w:tc>
          <w:tcPr>
            <w:tcW w:w="968" w:type="dxa"/>
            <w:vMerge w:val="continue"/>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2" w:type="dxa"/>
            <w:vMerge w:val="restart"/>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391" w:type="dxa"/>
            <w:vAlign w:val="center"/>
          </w:tcPr>
          <w:p>
            <w:pPr>
              <w:spacing w:line="320" w:lineRule="exact"/>
              <w:jc w:val="center"/>
              <w:rPr>
                <w:rFonts w:hint="eastAsia" w:ascii="宋体" w:hAnsi="宋体" w:eastAsia="宋体" w:cs="宋体"/>
                <w:sz w:val="24"/>
                <w:szCs w:val="24"/>
              </w:rPr>
            </w:pPr>
            <w:r>
              <w:rPr>
                <w:rFonts w:hint="eastAsia" w:asciiTheme="minorEastAsia" w:hAnsiTheme="minorEastAsia"/>
                <w:sz w:val="28"/>
                <w:szCs w:val="28"/>
                <w:lang w:eastAsia="zh-CN"/>
              </w:rPr>
              <w:t>禁止左转</w:t>
            </w:r>
            <w:r>
              <w:rPr>
                <w:rFonts w:hint="eastAsia" w:asciiTheme="minorEastAsia" w:hAnsiTheme="minorEastAsia"/>
                <w:sz w:val="28"/>
                <w:szCs w:val="28"/>
              </w:rPr>
              <w:t>标志牌</w:t>
            </w:r>
          </w:p>
        </w:tc>
        <w:tc>
          <w:tcPr>
            <w:tcW w:w="2325" w:type="dxa"/>
            <w:gridSpan w:val="2"/>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w:t>
            </w:r>
            <w:r>
              <w:rPr>
                <w:rFonts w:hint="eastAsia" w:ascii="宋体" w:hAnsi="宋体" w:eastAsia="宋体" w:cs="宋体"/>
                <w:sz w:val="24"/>
                <w:szCs w:val="24"/>
                <w:lang w:val="en-US" w:eastAsia="zh-CN"/>
              </w:rPr>
              <w:t>80</w:t>
            </w:r>
            <w:r>
              <w:rPr>
                <w:rFonts w:hint="eastAsia" w:ascii="宋体" w:hAnsi="宋体" w:eastAsia="宋体" w:cs="宋体"/>
                <w:sz w:val="24"/>
                <w:szCs w:val="24"/>
              </w:rPr>
              <w:t>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968" w:type="dxa"/>
            <w:vMerge w:val="restart"/>
            <w:vAlign w:val="center"/>
          </w:tcPr>
          <w:p>
            <w:pPr>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2" w:type="dxa"/>
            <w:vMerge w:val="continue"/>
            <w:vAlign w:val="center"/>
          </w:tcPr>
          <w:p>
            <w:pPr>
              <w:spacing w:line="320" w:lineRule="exact"/>
              <w:jc w:val="center"/>
              <w:rPr>
                <w:rFonts w:hint="eastAsia" w:ascii="宋体" w:hAnsi="宋体" w:eastAsia="宋体" w:cs="宋体"/>
                <w:sz w:val="24"/>
                <w:szCs w:val="24"/>
              </w:rPr>
            </w:pPr>
          </w:p>
        </w:tc>
        <w:tc>
          <w:tcPr>
            <w:tcW w:w="2391" w:type="dxa"/>
            <w:vAlign w:val="center"/>
          </w:tcPr>
          <w:p>
            <w:pPr>
              <w:spacing w:line="320" w:lineRule="exact"/>
              <w:jc w:val="center"/>
              <w:rPr>
                <w:rFonts w:hint="eastAsia" w:ascii="宋体" w:hAnsi="宋体" w:eastAsia="宋体" w:cs="宋体"/>
                <w:sz w:val="24"/>
                <w:szCs w:val="24"/>
              </w:rPr>
            </w:pPr>
            <w:r>
              <w:rPr>
                <w:rFonts w:hint="eastAsia" w:asciiTheme="minorEastAsia" w:hAnsiTheme="minorEastAsia"/>
                <w:sz w:val="28"/>
                <w:szCs w:val="28"/>
                <w:lang w:eastAsia="zh-CN"/>
              </w:rPr>
              <w:t>单</w:t>
            </w:r>
            <w:r>
              <w:rPr>
                <w:rFonts w:hint="eastAsia" w:asciiTheme="minorEastAsia" w:hAnsiTheme="minorEastAsia"/>
                <w:sz w:val="28"/>
                <w:szCs w:val="28"/>
              </w:rPr>
              <w:t>立杆</w:t>
            </w:r>
          </w:p>
        </w:tc>
        <w:tc>
          <w:tcPr>
            <w:tcW w:w="116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Φ70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968" w:type="dxa"/>
            <w:vMerge w:val="continue"/>
            <w:vAlign w:val="center"/>
          </w:tcPr>
          <w:p>
            <w:pPr>
              <w:spacing w:line="320" w:lineRule="exact"/>
              <w:jc w:val="center"/>
              <w:rPr>
                <w:rFonts w:hint="eastAsia" w:ascii="宋体" w:hAnsi="宋体" w:eastAsia="宋体" w:cs="宋体"/>
                <w:sz w:val="24"/>
                <w:szCs w:val="24"/>
              </w:rPr>
            </w:pPr>
          </w:p>
        </w:tc>
        <w:tc>
          <w:tcPr>
            <w:tcW w:w="968" w:type="dxa"/>
            <w:vMerge w:val="continue"/>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2" w:type="dxa"/>
            <w:vMerge w:val="restart"/>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391" w:type="dxa"/>
            <w:vAlign w:val="center"/>
          </w:tcPr>
          <w:p>
            <w:pPr>
              <w:spacing w:line="320" w:lineRule="exact"/>
              <w:jc w:val="center"/>
              <w:rPr>
                <w:rFonts w:hint="eastAsia" w:ascii="宋体" w:hAnsi="宋体" w:eastAsia="宋体" w:cs="宋体"/>
                <w:sz w:val="24"/>
                <w:szCs w:val="24"/>
              </w:rPr>
            </w:pPr>
            <w:r>
              <w:rPr>
                <w:rFonts w:hint="eastAsia" w:asciiTheme="minorEastAsia" w:hAnsiTheme="minorEastAsia"/>
                <w:sz w:val="28"/>
                <w:szCs w:val="28"/>
                <w:lang w:eastAsia="zh-CN"/>
              </w:rPr>
              <w:t>直行标</w:t>
            </w:r>
            <w:r>
              <w:rPr>
                <w:rFonts w:hint="eastAsia" w:asciiTheme="minorEastAsia" w:hAnsiTheme="minorEastAsia"/>
                <w:sz w:val="28"/>
                <w:szCs w:val="28"/>
              </w:rPr>
              <w:t>志牌</w:t>
            </w:r>
          </w:p>
        </w:tc>
        <w:tc>
          <w:tcPr>
            <w:tcW w:w="2325" w:type="dxa"/>
            <w:gridSpan w:val="2"/>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w:t>
            </w:r>
            <w:r>
              <w:rPr>
                <w:rFonts w:hint="eastAsia" w:ascii="宋体" w:hAnsi="宋体" w:eastAsia="宋体" w:cs="宋体"/>
                <w:sz w:val="24"/>
                <w:szCs w:val="24"/>
                <w:lang w:val="en-US" w:eastAsia="zh-CN"/>
              </w:rPr>
              <w:t>80</w:t>
            </w:r>
            <w:r>
              <w:rPr>
                <w:rFonts w:hint="eastAsia" w:ascii="宋体" w:hAnsi="宋体" w:eastAsia="宋体" w:cs="宋体"/>
                <w:sz w:val="24"/>
                <w:szCs w:val="24"/>
              </w:rPr>
              <w:t>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2" w:type="dxa"/>
            <w:vMerge w:val="continue"/>
            <w:vAlign w:val="center"/>
          </w:tcPr>
          <w:p>
            <w:pPr>
              <w:spacing w:line="320" w:lineRule="exact"/>
              <w:jc w:val="center"/>
              <w:rPr>
                <w:rFonts w:hint="eastAsia" w:ascii="宋体" w:hAnsi="宋体" w:eastAsia="宋体" w:cs="宋体"/>
                <w:sz w:val="24"/>
                <w:szCs w:val="24"/>
              </w:rPr>
            </w:pPr>
          </w:p>
        </w:tc>
        <w:tc>
          <w:tcPr>
            <w:tcW w:w="2391" w:type="dxa"/>
            <w:vAlign w:val="center"/>
          </w:tcPr>
          <w:p>
            <w:pPr>
              <w:spacing w:line="320" w:lineRule="exact"/>
              <w:jc w:val="center"/>
              <w:rPr>
                <w:rFonts w:hint="eastAsia" w:ascii="宋体" w:hAnsi="宋体" w:eastAsia="宋体" w:cs="宋体"/>
                <w:sz w:val="24"/>
                <w:szCs w:val="24"/>
              </w:rPr>
            </w:pPr>
            <w:r>
              <w:rPr>
                <w:rFonts w:hint="eastAsia" w:ascii="仿宋字体" w:eastAsia="仿宋字体"/>
                <w:sz w:val="28"/>
                <w:szCs w:val="28"/>
                <w:lang w:eastAsia="zh-CN"/>
              </w:rPr>
              <w:t>单</w:t>
            </w:r>
            <w:r>
              <w:rPr>
                <w:rFonts w:hint="eastAsia" w:ascii="仿宋字体" w:eastAsia="仿宋字体"/>
                <w:sz w:val="28"/>
                <w:szCs w:val="28"/>
              </w:rPr>
              <w:t>立杆</w:t>
            </w:r>
          </w:p>
        </w:tc>
        <w:tc>
          <w:tcPr>
            <w:tcW w:w="116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Φ70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968" w:type="dxa"/>
            <w:vMerge w:val="continue"/>
            <w:vAlign w:val="center"/>
          </w:tcPr>
          <w:p>
            <w:pPr>
              <w:spacing w:line="320" w:lineRule="exact"/>
              <w:jc w:val="center"/>
              <w:rPr>
                <w:rFonts w:hint="eastAsia" w:ascii="宋体" w:hAnsi="宋体" w:eastAsia="宋体" w:cs="宋体"/>
                <w:sz w:val="24"/>
                <w:szCs w:val="24"/>
              </w:rPr>
            </w:pPr>
          </w:p>
        </w:tc>
        <w:tc>
          <w:tcPr>
            <w:tcW w:w="968" w:type="dxa"/>
            <w:vMerge w:val="continue"/>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2" w:type="dxa"/>
            <w:vMerge w:val="restart"/>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391" w:type="dxa"/>
            <w:vAlign w:val="center"/>
          </w:tcPr>
          <w:p>
            <w:pPr>
              <w:spacing w:line="320" w:lineRule="exact"/>
              <w:jc w:val="center"/>
              <w:rPr>
                <w:rFonts w:hint="eastAsia" w:ascii="宋体" w:hAnsi="宋体" w:eastAsia="宋体" w:cs="宋体"/>
                <w:sz w:val="24"/>
                <w:szCs w:val="24"/>
              </w:rPr>
            </w:pPr>
            <w:r>
              <w:rPr>
                <w:rFonts w:hint="eastAsia" w:ascii="仿宋" w:hAnsi="仿宋" w:eastAsia="仿宋"/>
                <w:sz w:val="32"/>
                <w:szCs w:val="32"/>
              </w:rPr>
              <w:t>广角镜</w:t>
            </w:r>
          </w:p>
        </w:tc>
        <w:tc>
          <w:tcPr>
            <w:tcW w:w="3488" w:type="dxa"/>
            <w:gridSpan w:val="3"/>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 xml:space="preserve">Φ1000 </w:t>
            </w:r>
          </w:p>
        </w:tc>
        <w:tc>
          <w:tcPr>
            <w:tcW w:w="968" w:type="dxa"/>
            <w:vMerge w:val="restart"/>
            <w:vAlign w:val="center"/>
          </w:tcPr>
          <w:p>
            <w:pPr>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2" w:type="dxa"/>
            <w:vMerge w:val="continue"/>
            <w:vAlign w:val="center"/>
          </w:tcPr>
          <w:p>
            <w:pPr>
              <w:spacing w:line="320" w:lineRule="exact"/>
              <w:jc w:val="center"/>
              <w:rPr>
                <w:rFonts w:hint="eastAsia" w:ascii="宋体" w:hAnsi="宋体" w:eastAsia="宋体" w:cs="宋体"/>
                <w:sz w:val="24"/>
                <w:szCs w:val="24"/>
              </w:rPr>
            </w:pPr>
          </w:p>
        </w:tc>
        <w:tc>
          <w:tcPr>
            <w:tcW w:w="2391" w:type="dxa"/>
            <w:vAlign w:val="center"/>
          </w:tcPr>
          <w:p>
            <w:pPr>
              <w:spacing w:line="320" w:lineRule="exact"/>
              <w:jc w:val="center"/>
              <w:rPr>
                <w:rFonts w:hint="eastAsia" w:ascii="宋体" w:hAnsi="宋体" w:eastAsia="宋体" w:cs="宋体"/>
                <w:sz w:val="24"/>
                <w:szCs w:val="24"/>
              </w:rPr>
            </w:pPr>
            <w:r>
              <w:rPr>
                <w:rFonts w:hint="eastAsia" w:ascii="仿宋字体" w:eastAsia="仿宋字体"/>
                <w:sz w:val="28"/>
                <w:szCs w:val="28"/>
                <w:lang w:eastAsia="zh-CN"/>
              </w:rPr>
              <w:t>单</w:t>
            </w:r>
            <w:r>
              <w:rPr>
                <w:rFonts w:hint="eastAsia" w:ascii="仿宋字体" w:eastAsia="仿宋字体"/>
                <w:sz w:val="28"/>
                <w:szCs w:val="28"/>
              </w:rPr>
              <w:t>立杆</w:t>
            </w:r>
          </w:p>
        </w:tc>
        <w:tc>
          <w:tcPr>
            <w:tcW w:w="116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Φ70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968" w:type="dxa"/>
            <w:vMerge w:val="continue"/>
            <w:vAlign w:val="center"/>
          </w:tcPr>
          <w:p>
            <w:pPr>
              <w:spacing w:line="320" w:lineRule="exact"/>
              <w:jc w:val="center"/>
              <w:rPr>
                <w:rFonts w:hint="eastAsia" w:ascii="宋体" w:hAnsi="宋体" w:eastAsia="宋体" w:cs="宋体"/>
                <w:sz w:val="24"/>
                <w:szCs w:val="24"/>
              </w:rPr>
            </w:pPr>
          </w:p>
        </w:tc>
        <w:tc>
          <w:tcPr>
            <w:tcW w:w="968" w:type="dxa"/>
            <w:vMerge w:val="continue"/>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2" w:type="dxa"/>
            <w:vMerge w:val="restart"/>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391" w:type="dxa"/>
            <w:vAlign w:val="center"/>
          </w:tcPr>
          <w:p>
            <w:pPr>
              <w:spacing w:line="320" w:lineRule="exact"/>
              <w:jc w:val="center"/>
              <w:rPr>
                <w:rFonts w:hint="eastAsia" w:ascii="宋体" w:hAnsi="宋体" w:eastAsia="宋体" w:cs="宋体"/>
                <w:sz w:val="24"/>
                <w:szCs w:val="24"/>
              </w:rPr>
            </w:pPr>
            <w:r>
              <w:rPr>
                <w:rFonts w:hint="eastAsia" w:asciiTheme="minorEastAsia" w:hAnsiTheme="minorEastAsia"/>
                <w:sz w:val="28"/>
                <w:szCs w:val="28"/>
                <w:lang w:eastAsia="zh-CN"/>
              </w:rPr>
              <w:t>停车排队标</w:t>
            </w:r>
            <w:r>
              <w:rPr>
                <w:rFonts w:hint="eastAsia" w:asciiTheme="minorEastAsia" w:hAnsiTheme="minorEastAsia"/>
                <w:sz w:val="28"/>
                <w:szCs w:val="28"/>
              </w:rPr>
              <w:t>志牌</w:t>
            </w:r>
          </w:p>
        </w:tc>
        <w:tc>
          <w:tcPr>
            <w:tcW w:w="116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1200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600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62" w:type="dxa"/>
            <w:vMerge w:val="continue"/>
            <w:vAlign w:val="center"/>
          </w:tcPr>
          <w:p>
            <w:pPr>
              <w:spacing w:line="320" w:lineRule="exact"/>
              <w:jc w:val="center"/>
              <w:rPr>
                <w:rFonts w:hint="eastAsia" w:ascii="宋体" w:hAnsi="宋体" w:eastAsia="宋体" w:cs="宋体"/>
                <w:sz w:val="24"/>
                <w:szCs w:val="24"/>
              </w:rPr>
            </w:pPr>
          </w:p>
        </w:tc>
        <w:tc>
          <w:tcPr>
            <w:tcW w:w="2391" w:type="dxa"/>
            <w:vAlign w:val="center"/>
          </w:tcPr>
          <w:p>
            <w:pPr>
              <w:spacing w:line="320" w:lineRule="exact"/>
              <w:jc w:val="center"/>
              <w:rPr>
                <w:rFonts w:hint="eastAsia" w:ascii="宋体" w:hAnsi="宋体" w:eastAsia="宋体" w:cs="宋体"/>
                <w:sz w:val="24"/>
                <w:szCs w:val="24"/>
              </w:rPr>
            </w:pPr>
            <w:r>
              <w:rPr>
                <w:rFonts w:hint="eastAsia" w:ascii="仿宋字体" w:eastAsia="仿宋字体"/>
                <w:sz w:val="28"/>
                <w:szCs w:val="28"/>
                <w:lang w:eastAsia="zh-CN"/>
              </w:rPr>
              <w:t>单</w:t>
            </w:r>
            <w:r>
              <w:rPr>
                <w:rFonts w:hint="eastAsia" w:ascii="仿宋字体" w:eastAsia="仿宋字体"/>
                <w:sz w:val="28"/>
                <w:szCs w:val="28"/>
              </w:rPr>
              <w:t>立杆</w:t>
            </w:r>
          </w:p>
        </w:tc>
        <w:tc>
          <w:tcPr>
            <w:tcW w:w="116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Φ70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968" w:type="dxa"/>
            <w:vMerge w:val="continue"/>
            <w:vAlign w:val="center"/>
          </w:tcPr>
          <w:p>
            <w:pPr>
              <w:spacing w:line="320" w:lineRule="exact"/>
              <w:jc w:val="center"/>
              <w:rPr>
                <w:rFonts w:hint="eastAsia" w:ascii="宋体" w:hAnsi="宋体" w:eastAsia="宋体" w:cs="宋体"/>
                <w:sz w:val="24"/>
                <w:szCs w:val="24"/>
              </w:rPr>
            </w:pPr>
          </w:p>
        </w:tc>
        <w:tc>
          <w:tcPr>
            <w:tcW w:w="968" w:type="dxa"/>
            <w:vMerge w:val="continue"/>
            <w:vAlign w:val="center"/>
          </w:tcPr>
          <w:p>
            <w:pPr>
              <w:spacing w:line="320" w:lineRule="exact"/>
              <w:jc w:val="center"/>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按国标GB5768标准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标牌底板采用铝合金、铝滑槽制作。背面抱箍螺栓、钢带固定安装；牌面可根据道路或特殊要求采用不同级别的反光膜，项目包含标志牌制作及安装。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资金来源：企业自有资金。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报价人资格必须符合下列要求：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4.1在中华人民共和国依照《中华人民共和国民法典》注册的、具有法人资格的有能力提供采购货物有资质供应商。提供企业法人营业执照、税务登记证、组织机构代码证或三证合一新证、银行开户许可证。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4.2报价人经营范围应包括但不限于：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市政公用工程、道路工程的施工。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4.3具有固定的办公</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营业</w:t>
      </w:r>
      <w:r>
        <w:rPr>
          <w:rFonts w:hint="eastAsia" w:asciiTheme="minorEastAsia" w:hAnsiTheme="minorEastAsia" w:eastAsiaTheme="minorEastAsia" w:cstheme="minorEastAsia"/>
          <w:color w:val="000000" w:themeColor="text1"/>
          <w:sz w:val="24"/>
          <w:szCs w:val="24"/>
          <w14:textFill>
            <w14:solidFill>
              <w14:schemeClr w14:val="tx1"/>
            </w14:solidFill>
          </w14:textFill>
        </w:rPr>
        <w:t>场所及开展相关工作的办公条件。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4.4三年内未发生违法生产经营业绩。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4.5未列入中国铝业集团有限公司不合格承包商名单（含预警名单）及公司黑名单。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4.6本次采购活动不接受联合体报价。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4.7本采购活动接受代理商报价。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4.8法律、行政法规规定的其他条件见“第二章报价人须知”。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报价文件编制要求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5.1报价文件数：商务文件正本</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份、副本</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份</w:t>
      </w:r>
      <w:r>
        <w:rPr>
          <w:rFonts w:hint="eastAsia" w:ascii="仿宋_GB2312" w:eastAsia="仿宋_GB2312" w:cs="宋体"/>
          <w:color w:val="auto"/>
          <w:kern w:val="2"/>
          <w:sz w:val="28"/>
          <w:szCs w:val="28"/>
          <w:lang w:val="en-US" w:eastAsia="zh-CN"/>
        </w:rPr>
        <w:t>密封在一个封袋内；</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技术报价书正本</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份、副本</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份</w:t>
      </w:r>
      <w:r>
        <w:rPr>
          <w:rFonts w:hint="eastAsia" w:asciiTheme="minorEastAsia" w:hAnsiTheme="minorEastAsia" w:eastAsiaTheme="minorEastAsia" w:cstheme="minorEastAsia"/>
          <w:color w:val="000000" w:themeColor="text1"/>
          <w:sz w:val="24"/>
          <w:szCs w:val="24"/>
          <w14:textFill>
            <w14:solidFill>
              <w14:schemeClr w14:val="tx1"/>
            </w14:solidFill>
          </w14:textFill>
        </w:rPr>
        <w:t>密封在一个封袋内。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5.2评审方法：详见本采购文件第三章。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有以下情况之一的，报价无效：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6.1报价文件未密封或逾期送达。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6.2未加盖单位公章和法人代表（法人委托人）的印章（签名）。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6.3报价文件字迹模糊不清或内容自相矛盾。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6.4不符合采购文件中其他要求的。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6.5经评审委员会评为无效报价的。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6.6</w:t>
      </w:r>
      <w:r>
        <w:rPr>
          <w:rFonts w:hint="eastAsia" w:asciiTheme="minorEastAsia" w:hAnsiTheme="minorEastAsia" w:eastAsiaTheme="minorEastAsia" w:cstheme="minorEastAsia"/>
          <w:color w:val="000000" w:themeColor="text1"/>
          <w:sz w:val="24"/>
          <w:szCs w:val="24"/>
          <w14:textFill>
            <w14:solidFill>
              <w14:schemeClr w14:val="tx1"/>
            </w14:solidFill>
          </w14:textFill>
        </w:rPr>
        <w:t>严格遵守河南中州铝厂有限公司的规章制度，报价单位中选后签订《安全管理协议》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6.7</w:t>
      </w:r>
      <w:r>
        <w:rPr>
          <w:rFonts w:hint="eastAsia" w:asciiTheme="minorEastAsia" w:hAnsiTheme="minorEastAsia" w:eastAsiaTheme="minorEastAsia" w:cstheme="minorEastAsia"/>
          <w:color w:val="000000" w:themeColor="text1"/>
          <w:sz w:val="24"/>
          <w:szCs w:val="24"/>
          <w14:textFill>
            <w14:solidFill>
              <w14:schemeClr w14:val="tx1"/>
            </w14:solidFill>
          </w14:textFill>
        </w:rPr>
        <w:t>参加报价的单位用工年龄应当年满18周岁且不超过60周岁，有双重劳动关系的人员不可使用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6.8</w:t>
      </w:r>
      <w:r>
        <w:rPr>
          <w:rFonts w:hint="eastAsia" w:asciiTheme="minorEastAsia" w:hAnsiTheme="minorEastAsia" w:eastAsiaTheme="minorEastAsia" w:cstheme="minorEastAsia"/>
          <w:color w:val="000000" w:themeColor="text1"/>
          <w:sz w:val="24"/>
          <w:szCs w:val="24"/>
          <w14:textFill>
            <w14:solidFill>
              <w14:schemeClr w14:val="tx1"/>
            </w14:solidFill>
          </w14:textFill>
        </w:rPr>
        <w:t>参加报价的单位后勤卫生清理、稀有稀土原山工程业务外包用工应具有小学及以上学历，其它业务外包用工应具有初中以上学历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6.9</w:t>
      </w:r>
      <w:r>
        <w:rPr>
          <w:rFonts w:hint="eastAsia" w:asciiTheme="minorEastAsia" w:hAnsiTheme="minorEastAsia" w:eastAsiaTheme="minorEastAsia" w:cstheme="minorEastAsia"/>
          <w:color w:val="000000" w:themeColor="text1"/>
          <w:sz w:val="24"/>
          <w:szCs w:val="24"/>
          <w14:textFill>
            <w14:solidFill>
              <w14:schemeClr w14:val="tx1"/>
            </w14:solidFill>
          </w14:textFill>
        </w:rPr>
        <w:t>参加报价的单位在承揽作业期间，更换人员比例不得高于用工总量的10%，且需要事先书面通知甲方并提供更换人员相关资料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6.10</w:t>
      </w:r>
      <w:r>
        <w:rPr>
          <w:rFonts w:hint="eastAsia" w:asciiTheme="minorEastAsia" w:hAnsiTheme="minorEastAsia" w:eastAsiaTheme="minorEastAsia" w:cstheme="minorEastAsia"/>
          <w:color w:val="000000" w:themeColor="text1"/>
          <w:sz w:val="24"/>
          <w:szCs w:val="24"/>
          <w14:textFill>
            <w14:solidFill>
              <w14:schemeClr w14:val="tx1"/>
            </w14:solidFill>
          </w14:textFill>
        </w:rPr>
        <w:t>参加报价的单位同时承揽多项任务时，现场禁止“共享员工”（不含管理和技术人员）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6.11</w:t>
      </w:r>
      <w:r>
        <w:rPr>
          <w:rFonts w:hint="eastAsia" w:asciiTheme="minorEastAsia" w:hAnsiTheme="minorEastAsia" w:eastAsiaTheme="minorEastAsia" w:cstheme="minorEastAsia"/>
          <w:color w:val="000000" w:themeColor="text1"/>
          <w:sz w:val="24"/>
          <w:szCs w:val="24"/>
          <w14:textFill>
            <w14:solidFill>
              <w14:schemeClr w14:val="tx1"/>
            </w14:solidFill>
          </w14:textFill>
        </w:rPr>
        <w:t>本工程不接受联合体报价，不允许转包、分包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6.12</w:t>
      </w:r>
      <w:r>
        <w:rPr>
          <w:rFonts w:hint="eastAsia" w:asciiTheme="minorEastAsia" w:hAnsiTheme="minorEastAsia" w:eastAsiaTheme="minorEastAsia" w:cstheme="minorEastAsia"/>
          <w:color w:val="000000" w:themeColor="text1"/>
          <w:sz w:val="24"/>
          <w:szCs w:val="24"/>
          <w14:textFill>
            <w14:solidFill>
              <w14:schemeClr w14:val="tx1"/>
            </w14:solidFill>
          </w14:textFill>
        </w:rPr>
        <w:t>禁止被列入国家失信被执行人名单或中铝集团禁入名单的供应商参与采购活动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采购文件的修改</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从采购文件发出至报价截止日期，采购人可能会对已发出的采购文件进行澄清、答复、修改或补充，该内容为采购文件的组成部分。采购人将以书面形式同时发给所有获得采购文件的采购人。除书面形式以外的其他澄清、答复、修改或补充内容均无效。</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8.采购文件获取时间：2024年10月 14 日16:00-2024年10月 16 日14:00。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报价</w:t>
      </w:r>
      <w:r>
        <w:rPr>
          <w:rFonts w:hint="eastAsia" w:asciiTheme="minorEastAsia" w:hAnsiTheme="minorEastAsia" w:eastAsiaTheme="minorEastAsia" w:cstheme="minorEastAsia"/>
          <w:color w:val="auto"/>
          <w:sz w:val="24"/>
          <w:szCs w:val="24"/>
          <w:highlight w:val="none"/>
        </w:rPr>
        <w:t>时间：202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17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14：00</w:t>
      </w:r>
      <w:r>
        <w:rPr>
          <w:rFonts w:hint="eastAsia" w:asciiTheme="minorEastAsia" w:hAnsiTheme="minorEastAsia" w:eastAsiaTheme="minorEastAsia" w:cstheme="minorEastAsia"/>
          <w:color w:val="auto"/>
          <w:sz w:val="24"/>
          <w:szCs w:val="24"/>
          <w:highlight w:val="none"/>
        </w:rPr>
        <w:t>(北京时间)。逾期递交的采购文件恕不接受。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报价截止</w:t>
      </w:r>
      <w:r>
        <w:rPr>
          <w:rFonts w:hint="eastAsia" w:asciiTheme="minorEastAsia" w:hAnsiTheme="minorEastAsia" w:eastAsiaTheme="minorEastAsia" w:cstheme="minorEastAsia"/>
          <w:color w:val="auto"/>
          <w:sz w:val="24"/>
          <w:szCs w:val="24"/>
          <w:highlight w:val="none"/>
        </w:rPr>
        <w:t>时间：202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17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14：00</w:t>
      </w:r>
      <w:r>
        <w:rPr>
          <w:rFonts w:hint="eastAsia" w:asciiTheme="minorEastAsia" w:hAnsiTheme="minorEastAsia" w:eastAsiaTheme="minorEastAsia" w:cstheme="minorEastAsia"/>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报价及评审</w:t>
      </w: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lang w:val="en-US" w:eastAsia="zh-CN"/>
        </w:rPr>
        <w:t>安环部会议室。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12.如参加采购，请2024年10月17日14:00前予以回复。（格式见附件）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13.未递交采购确认函的单位将取消采购资格。</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14.报价单位接受多轮谈价，以最低价为准。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采购联系人：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杜淑芳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    话：0391-350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1029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手    机：13903917520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邮    箱：158706316@qq.com</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采购单位开户行及账号：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帐户名称：河南中州铝厂有限公司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开户银行：中国工商银行股份有限公司焦作中铝支行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帐    号：1709028009021000157</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附：采购确认函格式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sectPr>
          <w:headerReference r:id="rId3" w:type="default"/>
          <w:footerReference r:id="rId4" w:type="default"/>
          <w:pgSz w:w="11915" w:h="16840"/>
          <w:pgMar w:top="1135" w:right="1135" w:bottom="1135" w:left="1135" w:header="680" w:footer="907" w:gutter="0"/>
          <w:cols w:space="720" w:num="1"/>
          <w:docGrid w:linePitch="271" w:charSpace="0"/>
        </w:sect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276" w:lineRule="auto"/>
        <w:jc w:val="center"/>
        <w:rPr>
          <w:rFonts w:hint="eastAsia" w:ascii="宋体" w:hAnsi="宋体" w:cs="宋体"/>
          <w:b/>
          <w:color w:val="000000" w:themeColor="text1"/>
          <w:kern w:val="0"/>
          <w:sz w:val="36"/>
          <w:szCs w:val="36"/>
          <w14:textFill>
            <w14:solidFill>
              <w14:schemeClr w14:val="tx1"/>
            </w14:solidFill>
          </w14:textFill>
        </w:rPr>
      </w:pPr>
    </w:p>
    <w:p>
      <w:pPr>
        <w:spacing w:line="276" w:lineRule="auto"/>
        <w:jc w:val="center"/>
        <w:rPr>
          <w:rFonts w:hint="eastAsia" w:ascii="宋体" w:hAnsi="宋体" w:cs="宋体"/>
          <w:b/>
          <w:color w:val="000000" w:themeColor="text1"/>
          <w:kern w:val="0"/>
          <w:sz w:val="36"/>
          <w:szCs w:val="36"/>
          <w:lang w:eastAsia="zh-CN"/>
          <w14:textFill>
            <w14:solidFill>
              <w14:schemeClr w14:val="tx1"/>
            </w14:solidFill>
          </w14:textFill>
        </w:rPr>
      </w:pPr>
      <w:r>
        <w:rPr>
          <w:rFonts w:hint="eastAsia" w:ascii="宋体" w:hAnsi="宋体" w:cs="宋体"/>
          <w:b/>
          <w:color w:val="000000" w:themeColor="text1"/>
          <w:kern w:val="0"/>
          <w:sz w:val="36"/>
          <w:szCs w:val="36"/>
          <w:lang w:eastAsia="zh-CN"/>
          <w14:textFill>
            <w14:solidFill>
              <w14:schemeClr w14:val="tx1"/>
            </w14:solidFill>
          </w14:textFill>
        </w:rPr>
        <w:t>采购</w:t>
      </w:r>
      <w:r>
        <w:rPr>
          <w:rFonts w:hint="eastAsia" w:ascii="宋体" w:hAnsi="宋体" w:cs="宋体"/>
          <w:b/>
          <w:color w:val="000000" w:themeColor="text1"/>
          <w:kern w:val="0"/>
          <w:sz w:val="36"/>
          <w:szCs w:val="36"/>
          <w14:textFill>
            <w14:solidFill>
              <w14:schemeClr w14:val="tx1"/>
            </w14:solidFill>
          </w14:textFill>
        </w:rPr>
        <w:t>确认函</w:t>
      </w:r>
    </w:p>
    <w:p>
      <w:pPr>
        <w:spacing w:line="276" w:lineRule="auto"/>
        <w:jc w:val="left"/>
        <w:rPr>
          <w:rFonts w:ascii="仿宋_GB2312" w:hAnsi="宋体" w:eastAsia="仿宋_GB2312"/>
          <w:color w:val="000000" w:themeColor="text1"/>
          <w:sz w:val="36"/>
          <w:szCs w:val="36"/>
          <w14:textFill>
            <w14:solidFill>
              <w14:schemeClr w14:val="tx1"/>
            </w14:solidFill>
          </w14:textFill>
        </w:rPr>
      </w:pPr>
      <w:r>
        <w:rPr>
          <w:rFonts w:hint="eastAsia" w:ascii="仿宋_GB2312" w:hAnsi="宋体" w:eastAsia="仿宋_GB2312"/>
          <w:color w:val="000000" w:themeColor="text1"/>
          <w:sz w:val="36"/>
          <w:szCs w:val="36"/>
          <w14:textFill>
            <w14:solidFill>
              <w14:schemeClr w14:val="tx1"/>
            </w14:solidFill>
          </w14:textFill>
        </w:rPr>
        <w:t>河南中州铝厂有限公司：</w:t>
      </w:r>
    </w:p>
    <w:p>
      <w:pPr>
        <w:ind w:firstLine="720" w:firstLineChars="200"/>
        <w:jc w:val="left"/>
        <w:rPr>
          <w:rFonts w:ascii="仿宋_GB2312" w:eastAsia="仿宋_GB2312"/>
          <w:color w:val="000000" w:themeColor="text1"/>
          <w:sz w:val="36"/>
          <w:szCs w:val="36"/>
          <w14:textFill>
            <w14:solidFill>
              <w14:schemeClr w14:val="tx1"/>
            </w14:solidFill>
          </w14:textFill>
        </w:rPr>
      </w:pPr>
      <w:r>
        <w:rPr>
          <w:rFonts w:hint="eastAsia" w:ascii="仿宋_GB2312" w:hAnsi="宋体" w:eastAsia="仿宋_GB2312"/>
          <w:color w:val="000000" w:themeColor="text1"/>
          <w:sz w:val="36"/>
          <w:szCs w:val="36"/>
          <w14:textFill>
            <w14:solidFill>
              <w14:schemeClr w14:val="tx1"/>
            </w14:solidFill>
          </w14:textFill>
        </w:rPr>
        <w:t>我公司确认</w:t>
      </w:r>
      <w:r>
        <w:rPr>
          <w:rFonts w:hint="eastAsia" w:ascii="仿宋_GB2312" w:eastAsia="仿宋_GB2312"/>
          <w:color w:val="000000" w:themeColor="text1"/>
          <w:sz w:val="36"/>
          <w:szCs w:val="36"/>
          <w14:textFill>
            <w14:solidFill>
              <w14:schemeClr w14:val="tx1"/>
            </w14:solidFill>
          </w14:textFill>
        </w:rPr>
        <w:t>参加贵公司于</w:t>
      </w:r>
      <w:r>
        <w:rPr>
          <w:rFonts w:hint="eastAsia" w:ascii="仿宋_GB2312" w:eastAsia="仿宋_GB2312"/>
          <w:color w:val="000000" w:themeColor="text1"/>
          <w:sz w:val="36"/>
          <w:szCs w:val="36"/>
          <w:u w:val="single"/>
          <w14:textFill>
            <w14:solidFill>
              <w14:schemeClr w14:val="tx1"/>
            </w14:solidFill>
          </w14:textFill>
        </w:rPr>
        <w:t xml:space="preserve">  202</w:t>
      </w:r>
      <w:r>
        <w:rPr>
          <w:rFonts w:hint="eastAsia" w:ascii="仿宋_GB2312" w:eastAsia="仿宋_GB2312"/>
          <w:color w:val="000000" w:themeColor="text1"/>
          <w:sz w:val="36"/>
          <w:szCs w:val="36"/>
          <w:u w:val="single"/>
          <w:lang w:val="en-US" w:eastAsia="zh-CN"/>
          <w14:textFill>
            <w14:solidFill>
              <w14:schemeClr w14:val="tx1"/>
            </w14:solidFill>
          </w14:textFill>
        </w:rPr>
        <w:t>4</w:t>
      </w:r>
      <w:r>
        <w:rPr>
          <w:rFonts w:hint="eastAsia"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14:textFill>
            <w14:solidFill>
              <w14:schemeClr w14:val="tx1"/>
            </w14:solidFill>
          </w14:textFill>
        </w:rPr>
        <w:t xml:space="preserve"> 年</w:t>
      </w:r>
      <w:r>
        <w:rPr>
          <w:rFonts w:hint="eastAsia"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14:textFill>
            <w14:solidFill>
              <w14:schemeClr w14:val="tx1"/>
            </w14:solidFill>
          </w14:textFill>
        </w:rPr>
        <w:t>月</w:t>
      </w:r>
      <w:r>
        <w:rPr>
          <w:rFonts w:hint="eastAsia"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14:textFill>
            <w14:solidFill>
              <w14:schemeClr w14:val="tx1"/>
            </w14:solidFill>
          </w14:textFill>
        </w:rPr>
        <w:t>日举行的</w:t>
      </w:r>
      <w:r>
        <w:rPr>
          <w:rFonts w:hint="eastAsia" w:ascii="仿宋_GB2312" w:eastAsia="仿宋_GB2312"/>
          <w:color w:val="000000" w:themeColor="text1"/>
          <w:sz w:val="36"/>
          <w:szCs w:val="36"/>
          <w:u w:val="single"/>
          <w:lang w:val="en-US" w:eastAsia="zh-CN"/>
          <w14:textFill>
            <w14:solidFill>
              <w14:schemeClr w14:val="tx1"/>
            </w14:solidFill>
          </w14:textFill>
        </w:rPr>
        <w:t xml:space="preserve">                            </w:t>
      </w:r>
      <w:r>
        <w:rPr>
          <w:rFonts w:hint="eastAsia" w:ascii="仿宋_GB2312" w:eastAsia="仿宋_GB2312"/>
          <w:color w:val="000000" w:themeColor="text1"/>
          <w:sz w:val="36"/>
          <w:szCs w:val="36"/>
          <w14:textFill>
            <w14:solidFill>
              <w14:schemeClr w14:val="tx1"/>
            </w14:solidFill>
          </w14:textFill>
        </w:rPr>
        <w:t>项目的报价活动，并参加此项目的报价。</w:t>
      </w:r>
    </w:p>
    <w:p>
      <w:pPr>
        <w:ind w:firstLine="540"/>
        <w:jc w:val="left"/>
        <w:rPr>
          <w:rFonts w:ascii="仿宋_GB2312" w:eastAsia="仿宋_GB2312"/>
          <w:color w:val="000000" w:themeColor="text1"/>
          <w:sz w:val="36"/>
          <w:szCs w:val="36"/>
          <w14:textFill>
            <w14:solidFill>
              <w14:schemeClr w14:val="tx1"/>
            </w14:solidFill>
          </w14:textFill>
        </w:rPr>
      </w:pPr>
    </w:p>
    <w:p>
      <w:pPr>
        <w:pStyle w:val="3"/>
        <w:rPr>
          <w:rFonts w:ascii="仿宋_GB2312" w:eastAsia="仿宋_GB2312"/>
          <w:color w:val="000000" w:themeColor="text1"/>
          <w:sz w:val="36"/>
          <w:szCs w:val="36"/>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此致</w:t>
      </w:r>
    </w:p>
    <w:p>
      <w:pPr>
        <w:pStyle w:val="4"/>
        <w:ind w:left="0" w:leftChars="0" w:firstLine="1620" w:firstLineChars="450"/>
        <w:rPr>
          <w:rFonts w:ascii="仿宋_GB2312" w:eastAsia="仿宋_GB2312"/>
          <w:color w:val="000000" w:themeColor="text1"/>
          <w:sz w:val="36"/>
          <w:szCs w:val="36"/>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敬礼</w:t>
      </w:r>
    </w:p>
    <w:p>
      <w:pPr>
        <w:spacing w:line="480" w:lineRule="auto"/>
        <w:ind w:firstLine="720" w:firstLineChars="200"/>
        <w:rPr>
          <w:rFonts w:ascii="仿宋_GB2312" w:hAnsi="宋体" w:eastAsia="仿宋_GB2312"/>
          <w:color w:val="000000" w:themeColor="text1"/>
          <w:sz w:val="36"/>
          <w:szCs w:val="36"/>
          <w14:textFill>
            <w14:solidFill>
              <w14:schemeClr w14:val="tx1"/>
            </w14:solidFill>
          </w14:textFill>
        </w:rPr>
      </w:pPr>
    </w:p>
    <w:p>
      <w:pPr>
        <w:spacing w:line="360" w:lineRule="auto"/>
        <w:rPr>
          <w:rFonts w:ascii="仿宋_GB2312" w:hAnsi="宋体" w:eastAsia="仿宋_GB2312"/>
          <w:color w:val="000000" w:themeColor="text1"/>
          <w:sz w:val="36"/>
          <w:szCs w:val="36"/>
          <w14:textFill>
            <w14:solidFill>
              <w14:schemeClr w14:val="tx1"/>
            </w14:solidFill>
          </w14:textFill>
        </w:rPr>
      </w:pPr>
    </w:p>
    <w:p>
      <w:pPr>
        <w:spacing w:line="360" w:lineRule="auto"/>
        <w:ind w:left="1260" w:leftChars="600" w:firstLine="1080" w:firstLineChars="300"/>
        <w:rPr>
          <w:rFonts w:ascii="仿宋_GB2312" w:hAnsi="宋体" w:eastAsia="仿宋_GB2312"/>
          <w:color w:val="000000" w:themeColor="text1"/>
          <w:sz w:val="36"/>
          <w:szCs w:val="36"/>
          <w14:textFill>
            <w14:solidFill>
              <w14:schemeClr w14:val="tx1"/>
            </w14:solidFill>
          </w14:textFill>
        </w:rPr>
      </w:pPr>
      <w:r>
        <w:rPr>
          <w:rFonts w:hint="eastAsia" w:ascii="仿宋_GB2312" w:hAnsi="宋体" w:eastAsia="仿宋_GB2312" w:cs="宋体"/>
          <w:color w:val="000000" w:themeColor="text1"/>
          <w:kern w:val="0"/>
          <w:sz w:val="36"/>
          <w:szCs w:val="36"/>
          <w14:textFill>
            <w14:solidFill>
              <w14:schemeClr w14:val="tx1"/>
            </w14:solidFill>
          </w14:textFill>
        </w:rPr>
        <w:t>报价单位签字或盖章：</w:t>
      </w:r>
    </w:p>
    <w:p>
      <w:pPr>
        <w:spacing w:line="440" w:lineRule="exact"/>
        <w:jc w:val="center"/>
        <w:rPr>
          <w:rFonts w:ascii="仿宋_GB2312" w:hAnsi="宋体" w:eastAsia="仿宋_GB2312" w:cs="宋体"/>
          <w:color w:val="000000" w:themeColor="text1"/>
          <w:kern w:val="0"/>
          <w:sz w:val="36"/>
          <w:szCs w:val="36"/>
          <w14:textFill>
            <w14:solidFill>
              <w14:schemeClr w14:val="tx1"/>
            </w14:solidFill>
          </w14:textFill>
        </w:rPr>
      </w:pPr>
    </w:p>
    <w:p>
      <w:pPr>
        <w:spacing w:line="440" w:lineRule="exact"/>
        <w:jc w:val="center"/>
        <w:rPr>
          <w:rFonts w:ascii="仿宋_GB2312" w:hAnsi="宋体" w:eastAsia="仿宋_GB2312" w:cs="宋体"/>
          <w:color w:val="000000" w:themeColor="text1"/>
          <w:kern w:val="0"/>
          <w:sz w:val="36"/>
          <w:szCs w:val="36"/>
          <w14:textFill>
            <w14:solidFill>
              <w14:schemeClr w14:val="tx1"/>
            </w14:solidFill>
          </w14:textFill>
        </w:rPr>
      </w:pPr>
    </w:p>
    <w:p>
      <w:pPr>
        <w:spacing w:line="440" w:lineRule="exact"/>
        <w:jc w:val="center"/>
        <w:rPr>
          <w:rFonts w:ascii="仿宋_GB2312" w:hAnsi="宋体" w:eastAsia="仿宋_GB2312" w:cs="宋体"/>
          <w:color w:val="000000" w:themeColor="text1"/>
          <w:kern w:val="0"/>
          <w:sz w:val="36"/>
          <w:szCs w:val="36"/>
          <w14:textFill>
            <w14:solidFill>
              <w14:schemeClr w14:val="tx1"/>
            </w14:solidFill>
          </w14:textFill>
        </w:rPr>
      </w:pPr>
    </w:p>
    <w:p>
      <w:pPr>
        <w:spacing w:line="440" w:lineRule="exact"/>
        <w:jc w:val="center"/>
        <w:rPr>
          <w:rFonts w:ascii="仿宋_GB2312" w:hAnsi="宋体" w:eastAsia="仿宋_GB2312"/>
          <w:color w:val="000000" w:themeColor="text1"/>
          <w:sz w:val="36"/>
          <w:szCs w:val="36"/>
          <w14:textFill>
            <w14:solidFill>
              <w14:schemeClr w14:val="tx1"/>
            </w14:solidFill>
          </w14:textFill>
        </w:rPr>
      </w:pPr>
      <w:r>
        <w:rPr>
          <w:rFonts w:hint="eastAsia" w:ascii="仿宋_GB2312" w:hAnsi="宋体" w:eastAsia="仿宋_GB2312" w:cs="宋体"/>
          <w:color w:val="000000" w:themeColor="text1"/>
          <w:kern w:val="0"/>
          <w:sz w:val="36"/>
          <w:szCs w:val="36"/>
          <w14:textFill>
            <w14:solidFill>
              <w14:schemeClr w14:val="tx1"/>
            </w14:solidFill>
          </w14:textFill>
        </w:rPr>
        <w:t xml:space="preserve">                     202</w:t>
      </w:r>
      <w:r>
        <w:rPr>
          <w:rFonts w:hint="eastAsia" w:ascii="仿宋_GB2312" w:hAnsi="宋体" w:eastAsia="仿宋_GB2312" w:cs="宋体"/>
          <w:color w:val="000000" w:themeColor="text1"/>
          <w:kern w:val="0"/>
          <w:sz w:val="36"/>
          <w:szCs w:val="36"/>
          <w:lang w:val="en-US" w:eastAsia="zh-CN"/>
          <w14:textFill>
            <w14:solidFill>
              <w14:schemeClr w14:val="tx1"/>
            </w14:solidFill>
          </w14:textFill>
        </w:rPr>
        <w:t>4</w:t>
      </w:r>
      <w:r>
        <w:rPr>
          <w:rFonts w:hint="eastAsia" w:ascii="仿宋_GB2312" w:hAnsi="宋体" w:eastAsia="仿宋_GB2312" w:cs="宋体"/>
          <w:color w:val="000000" w:themeColor="text1"/>
          <w:kern w:val="0"/>
          <w:sz w:val="36"/>
          <w:szCs w:val="36"/>
          <w14:textFill>
            <w14:solidFill>
              <w14:schemeClr w14:val="tx1"/>
            </w14:solidFill>
          </w14:textFill>
        </w:rPr>
        <w:t>年  月   日</w:t>
      </w:r>
    </w:p>
    <w:p>
      <w:pPr>
        <w:rPr>
          <w:color w:val="000000" w:themeColor="text1"/>
          <w:szCs w:val="36"/>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字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MjcxMTIyNmY4NDg0Y2IyYzFkZmE3NzQ4YTcwYWIifQ=="/>
  </w:docVars>
  <w:rsids>
    <w:rsidRoot w:val="00000000"/>
    <w:rsid w:val="06E34869"/>
    <w:rsid w:val="0C897A6E"/>
    <w:rsid w:val="0FF756C0"/>
    <w:rsid w:val="11413E87"/>
    <w:rsid w:val="2DB7565D"/>
    <w:rsid w:val="2F7954ED"/>
    <w:rsid w:val="31D556A1"/>
    <w:rsid w:val="35006D1F"/>
    <w:rsid w:val="40663736"/>
    <w:rsid w:val="44CF0702"/>
    <w:rsid w:val="4D152791"/>
    <w:rsid w:val="4E2C3118"/>
    <w:rsid w:val="4FAD3644"/>
    <w:rsid w:val="5428129F"/>
    <w:rsid w:val="6F0A5C94"/>
    <w:rsid w:val="72575D97"/>
    <w:rsid w:val="73A94258"/>
    <w:rsid w:val="74434162"/>
    <w:rsid w:val="79351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Lines="100" w:afterLines="80" w:line="360" w:lineRule="auto"/>
      <w:jc w:val="center"/>
      <w:outlineLvl w:val="0"/>
    </w:pPr>
    <w:rPr>
      <w:b/>
      <w:bCs/>
      <w:kern w:val="44"/>
      <w:sz w:val="32"/>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Salutation"/>
    <w:basedOn w:val="1"/>
    <w:next w:val="1"/>
    <w:unhideWhenUsed/>
    <w:qFormat/>
    <w:uiPriority w:val="99"/>
    <w:rPr>
      <w:rFonts w:ascii="Calibri" w:hAnsi="Calibri"/>
      <w:sz w:val="28"/>
      <w:szCs w:val="28"/>
    </w:rPr>
  </w:style>
  <w:style w:type="paragraph" w:styleId="4">
    <w:name w:val="Closing"/>
    <w:basedOn w:val="1"/>
    <w:unhideWhenUsed/>
    <w:qFormat/>
    <w:uiPriority w:val="99"/>
    <w:pPr>
      <w:ind w:left="100" w:leftChars="2100"/>
    </w:pPr>
    <w:rPr>
      <w:rFonts w:ascii="Calibri" w:hAnsi="Calibri"/>
      <w:sz w:val="28"/>
      <w:szCs w:val="2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paragraph" w:styleId="6">
    <w:name w:val="Normal (Web)"/>
    <w:basedOn w:val="1"/>
    <w:unhideWhenUsed/>
    <w:qFormat/>
    <w:uiPriority w:val="99"/>
    <w:rPr>
      <w:rFonts w:ascii="Times New Roman" w:hAnsi="Times New Roman" w:eastAsia="宋体" w:cs="Times New Roman"/>
      <w:sz w:val="24"/>
      <w:szCs w:val="24"/>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1696</Words>
  <Characters>2053</Characters>
  <Lines>0</Lines>
  <Paragraphs>0</Paragraphs>
  <TotalTime>9</TotalTime>
  <ScaleCrop>false</ScaleCrop>
  <LinksUpToDate>false</LinksUpToDate>
  <CharactersWithSpaces>2199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2022-05-25T00:33:00Z</dcterms:created>
  <dc:creator>Administrator</dc:creator>
  <cp:lastModifiedBy>Administrator</cp:lastModifiedBy>
  <dcterms:modified xsi:type="dcterms:W3CDTF">2024-10-14T07:20:45Z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5E1EA817C7D54CFCA4F2F8BA43C21BCC</vt:lpwstr>
  </property>
</Properties>
</file>