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adjustRightInd/>
        <w:snapToGrid/>
        <w:spacing w:beforeLines="0" w:afterLines="0" w:line="240" w:lineRule="auto"/>
        <w:ind w:left="0" w:leftChars="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第一章 采购公告</w:t>
      </w:r>
    </w:p>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bCs/>
          <w:color w:val="FF0000"/>
          <w:sz w:val="24"/>
          <w:szCs w:val="24"/>
        </w:rPr>
      </w:pPr>
    </w:p>
    <w:p>
      <w:pPr>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b/>
          <w:bCs/>
          <w:color w:val="FF0000"/>
          <w:sz w:val="30"/>
          <w:szCs w:val="30"/>
          <w:lang w:val="en-US" w:eastAsia="zh-CN"/>
        </w:rPr>
      </w:pPr>
      <w:r>
        <w:rPr>
          <w:rFonts w:hint="eastAsia" w:ascii="仿宋_GB2312" w:hAnsi="仿宋_GB2312" w:eastAsia="仿宋_GB2312" w:cs="仿宋_GB2312"/>
          <w:b/>
          <w:bCs/>
          <w:color w:val="FF0000"/>
          <w:sz w:val="30"/>
          <w:szCs w:val="30"/>
          <w:lang w:val="en-US" w:eastAsia="zh-CN"/>
        </w:rPr>
        <w:t>中州矿业段村民爆器材库安全验收评价技术服务采购</w:t>
      </w:r>
    </w:p>
    <w:p>
      <w:pPr>
        <w:pStyle w:val="8"/>
        <w:pageBreakBefore w:val="0"/>
        <w:kinsoku/>
        <w:wordWrap/>
        <w:overflowPunct/>
        <w:topLinePunct w:val="0"/>
        <w:bidi w:val="0"/>
        <w:snapToGrid/>
        <w:spacing w:after="0" w:line="240" w:lineRule="auto"/>
        <w:ind w:left="14" w:leftChars="0" w:hanging="14" w:hangingChars="6"/>
        <w:jc w:val="center"/>
        <w:textAlignment w:val="auto"/>
        <w:rPr>
          <w:rFonts w:hint="eastAsia" w:ascii="仿宋_GB2312" w:hAnsi="仿宋_GB2312" w:eastAsia="仿宋_GB2312" w:cs="仿宋_GB2312"/>
          <w:b/>
          <w:bCs/>
          <w:color w:val="FF0000"/>
          <w:sz w:val="24"/>
          <w:szCs w:val="24"/>
          <w:lang w:val="en-US" w:eastAsia="zh-CN"/>
        </w:rPr>
      </w:pPr>
    </w:p>
    <w:p>
      <w:pPr>
        <w:pStyle w:val="8"/>
        <w:pageBreakBefore w:val="0"/>
        <w:kinsoku/>
        <w:wordWrap/>
        <w:overflowPunct/>
        <w:topLinePunct w:val="0"/>
        <w:bidi w:val="0"/>
        <w:snapToGrid/>
        <w:spacing w:after="0" w:line="240" w:lineRule="auto"/>
        <w:ind w:left="14" w:leftChars="0" w:hanging="14" w:hangingChars="6"/>
        <w:jc w:val="left"/>
        <w:textAlignment w:val="auto"/>
        <w:rPr>
          <w:rFonts w:hint="eastAsia" w:ascii="仿宋_GB2312" w:hAnsi="仿宋_GB2312" w:eastAsia="仿宋_GB2312" w:cs="仿宋_GB2312"/>
          <w:b/>
          <w:bCs/>
          <w:color w:val="FF0000"/>
          <w:sz w:val="24"/>
          <w:szCs w:val="24"/>
        </w:rPr>
      </w:pPr>
      <w:r>
        <w:rPr>
          <w:rFonts w:hint="eastAsia" w:ascii="仿宋_GB2312" w:hAnsi="仿宋_GB2312" w:eastAsia="仿宋_GB2312" w:cs="仿宋_GB2312"/>
          <w:color w:val="FF0000"/>
          <w:sz w:val="24"/>
          <w:szCs w:val="24"/>
          <w:highlight w:val="none"/>
          <w:lang w:val="en-US" w:eastAsia="zh-CN"/>
        </w:rPr>
        <w:t xml:space="preserve">     安全环保健康部</w:t>
      </w:r>
      <w:r>
        <w:rPr>
          <w:rFonts w:hint="eastAsia" w:ascii="仿宋_GB2312" w:hAnsi="仿宋_GB2312" w:eastAsia="仿宋_GB2312" w:cs="仿宋_GB2312"/>
          <w:sz w:val="24"/>
          <w:szCs w:val="24"/>
        </w:rPr>
        <w:t>（以下简称采购单位）受</w:t>
      </w:r>
      <w:r>
        <w:rPr>
          <w:rFonts w:hint="eastAsia" w:ascii="仿宋_GB2312" w:hAnsi="仿宋_GB2312" w:eastAsia="仿宋_GB2312" w:cs="仿宋_GB2312"/>
          <w:color w:val="FF0000"/>
          <w:sz w:val="24"/>
          <w:szCs w:val="24"/>
          <w:highlight w:val="none"/>
          <w:lang w:val="en-US" w:eastAsia="zh-CN"/>
        </w:rPr>
        <w:t>中铝中州矿业有限公司</w:t>
      </w:r>
      <w:r>
        <w:rPr>
          <w:rFonts w:hint="eastAsia" w:ascii="仿宋_GB2312" w:hAnsi="仿宋_GB2312" w:eastAsia="仿宋_GB2312" w:cs="仿宋_GB2312"/>
          <w:sz w:val="24"/>
          <w:szCs w:val="24"/>
        </w:rPr>
        <w:t>委托</w:t>
      </w:r>
      <w:r>
        <w:rPr>
          <w:rFonts w:hint="eastAsia" w:ascii="仿宋_GB2312" w:hAnsi="仿宋_GB2312" w:eastAsia="仿宋_GB2312" w:cs="仿宋_GB2312"/>
          <w:sz w:val="24"/>
          <w:szCs w:val="24"/>
          <w:lang w:val="en-US" w:eastAsia="zh-CN"/>
        </w:rPr>
        <w:t>,就</w:t>
      </w:r>
      <w:r>
        <w:rPr>
          <w:rFonts w:hint="eastAsia" w:ascii="仿宋_GB2312" w:hAnsi="仿宋_GB2312" w:eastAsia="仿宋_GB2312" w:cs="仿宋_GB2312"/>
          <w:b/>
          <w:bCs/>
          <w:color w:val="FF0000"/>
          <w:sz w:val="24"/>
          <w:szCs w:val="24"/>
          <w:highlight w:val="none"/>
          <w:lang w:val="en-US" w:eastAsia="zh-CN"/>
        </w:rPr>
        <w:t>中州矿业段村民爆器材库安全验收评价技术服务,</w:t>
      </w:r>
      <w:r>
        <w:rPr>
          <w:rFonts w:hint="eastAsia" w:ascii="仿宋_GB2312" w:hAnsi="仿宋_GB2312" w:eastAsia="仿宋_GB2312" w:cs="仿宋_GB2312"/>
          <w:sz w:val="24"/>
          <w:szCs w:val="24"/>
        </w:rPr>
        <w:t>现</w:t>
      </w:r>
      <w:r>
        <w:rPr>
          <w:rFonts w:hint="eastAsia" w:ascii="仿宋_GB2312" w:hAnsi="仿宋_GB2312" w:eastAsia="仿宋_GB2312" w:cs="仿宋_GB2312"/>
          <w:sz w:val="24"/>
          <w:szCs w:val="24"/>
          <w:lang w:eastAsia="zh-CN"/>
        </w:rPr>
        <w:t>公开</w:t>
      </w:r>
      <w:r>
        <w:rPr>
          <w:rFonts w:hint="eastAsia" w:ascii="仿宋_GB2312" w:hAnsi="仿宋_GB2312" w:eastAsia="仿宋_GB2312" w:cs="仿宋_GB2312"/>
          <w:sz w:val="24"/>
          <w:szCs w:val="24"/>
        </w:rPr>
        <w:t>邀请国内符合资格条件和有同类项目良好业绩的供应商参加该项目的</w:t>
      </w:r>
      <w:r>
        <w:rPr>
          <w:rFonts w:hint="eastAsia" w:ascii="仿宋_GB2312" w:hAnsi="仿宋_GB2312" w:eastAsia="仿宋_GB2312" w:cs="仿宋_GB2312"/>
          <w:sz w:val="24"/>
          <w:szCs w:val="24"/>
          <w:lang w:eastAsia="zh-CN"/>
        </w:rPr>
        <w:t>公开询比采购活动</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FF0000"/>
          <w:sz w:val="24"/>
          <w:szCs w:val="24"/>
          <w:highlight w:val="none"/>
          <w:u w:val="single"/>
          <w:lang w:val="en-US" w:eastAsia="zh-CN"/>
        </w:rPr>
      </w:pPr>
      <w:r>
        <w:rPr>
          <w:rFonts w:hint="eastAsia" w:ascii="仿宋_GB2312" w:hAnsi="仿宋_GB2312" w:eastAsia="仿宋_GB2312" w:cs="仿宋_GB2312"/>
          <w:b/>
          <w:bCs/>
          <w:sz w:val="24"/>
          <w:szCs w:val="24"/>
          <w:lang w:val="en-US" w:eastAsia="zh-CN"/>
        </w:rPr>
        <w:t xml:space="preserve">1 </w:t>
      </w:r>
      <w:r>
        <w:rPr>
          <w:rFonts w:hint="eastAsia" w:ascii="仿宋_GB2312" w:hAnsi="仿宋_GB2312" w:eastAsia="仿宋_GB2312" w:cs="仿宋_GB2312"/>
          <w:b/>
          <w:bCs/>
          <w:sz w:val="24"/>
          <w:szCs w:val="24"/>
        </w:rPr>
        <w:t>采购编号</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highlight w:val="none"/>
          <w:lang w:val="en-US" w:eastAsia="zh-CN"/>
        </w:rPr>
        <w:t>CG-ZZ-202411-AHB-AQGL-028</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 采购项目的名称、采购范围、数量、交货地点</w:t>
      </w:r>
    </w:p>
    <w:tbl>
      <w:tblPr>
        <w:tblStyle w:val="9"/>
        <w:tblW w:w="48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2387"/>
        <w:gridCol w:w="1543"/>
        <w:gridCol w:w="1140"/>
        <w:gridCol w:w="1161"/>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73"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段号</w:t>
            </w:r>
          </w:p>
        </w:tc>
        <w:tc>
          <w:tcPr>
            <w:tcW w:w="1457"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项目名称</w:t>
            </w:r>
          </w:p>
        </w:tc>
        <w:tc>
          <w:tcPr>
            <w:tcW w:w="942"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规格</w:t>
            </w:r>
          </w:p>
        </w:tc>
        <w:tc>
          <w:tcPr>
            <w:tcW w:w="696"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数量</w:t>
            </w:r>
          </w:p>
        </w:tc>
        <w:tc>
          <w:tcPr>
            <w:tcW w:w="709"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lang w:val="en-US" w:eastAsia="zh-CN"/>
              </w:rPr>
              <w:t>履行</w:t>
            </w:r>
            <w:r>
              <w:rPr>
                <w:rFonts w:hint="eastAsia" w:ascii="仿宋_GB2312" w:hAnsi="仿宋_GB2312" w:eastAsia="仿宋_GB2312" w:cs="仿宋_GB2312"/>
                <w:b/>
                <w:sz w:val="24"/>
                <w:szCs w:val="24"/>
                <w:highlight w:val="none"/>
              </w:rPr>
              <w:t>期</w:t>
            </w:r>
          </w:p>
        </w:tc>
        <w:tc>
          <w:tcPr>
            <w:tcW w:w="820"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37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1457" w:type="pct"/>
            <w:noWrap w:val="0"/>
            <w:vAlign w:val="center"/>
          </w:tcPr>
          <w:p>
            <w:pPr>
              <w:pageBreakBefore w:val="0"/>
              <w:kinsoku/>
              <w:wordWrap/>
              <w:topLinePunct w:val="0"/>
              <w:bidi w:val="0"/>
              <w:spacing w:line="240" w:lineRule="auto"/>
              <w:jc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bCs/>
                <w:color w:val="FF0000"/>
                <w:sz w:val="24"/>
                <w:szCs w:val="24"/>
                <w:lang w:val="en-US" w:eastAsia="zh-CN"/>
              </w:rPr>
              <w:t>中州矿业段村民爆器材库安全验收评价技术服务采购</w:t>
            </w:r>
          </w:p>
        </w:tc>
        <w:tc>
          <w:tcPr>
            <w:tcW w:w="9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详见采购文件</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第二章</w:t>
            </w:r>
          </w:p>
        </w:tc>
        <w:tc>
          <w:tcPr>
            <w:tcW w:w="6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w:t>
            </w:r>
          </w:p>
        </w:tc>
        <w:tc>
          <w:tcPr>
            <w:tcW w:w="709" w:type="pct"/>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left="0" w:leftChars="0"/>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color w:val="FF0000"/>
                <w:kern w:val="0"/>
                <w:sz w:val="24"/>
                <w:szCs w:val="24"/>
                <w:lang w:val="en-US" w:eastAsia="zh-CN" w:bidi="ar-SA"/>
              </w:rPr>
              <w:t>自合同签订3个月内</w:t>
            </w:r>
          </w:p>
        </w:tc>
        <w:tc>
          <w:tcPr>
            <w:tcW w:w="8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bCs/>
                <w:color w:val="FF0000"/>
                <w:kern w:val="0"/>
                <w:sz w:val="24"/>
                <w:szCs w:val="24"/>
                <w:lang w:val="en-US" w:eastAsia="zh-CN"/>
              </w:rPr>
              <w:t>采购人指定地点</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3 资金来源：</w:t>
      </w:r>
      <w:r>
        <w:rPr>
          <w:rFonts w:hint="eastAsia" w:ascii="仿宋_GB2312" w:hAnsi="仿宋_GB2312" w:eastAsia="仿宋_GB2312" w:cs="仿宋_GB2312"/>
          <w:sz w:val="24"/>
          <w:szCs w:val="24"/>
        </w:rPr>
        <w:t>企业自有资金。</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4 报价人资格必须符合下列要求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在中华人民共和国依照《中华人民共和国民法典》注册的、具有法人资格的有能力提供采购货物</w:t>
      </w:r>
      <w:r>
        <w:rPr>
          <w:rFonts w:hint="eastAsia" w:ascii="仿宋_GB2312" w:hAnsi="仿宋_GB2312" w:eastAsia="仿宋_GB2312" w:cs="仿宋_GB2312"/>
          <w:color w:val="auto"/>
          <w:sz w:val="24"/>
          <w:szCs w:val="24"/>
          <w:lang w:val="en-US" w:eastAsia="zh-CN"/>
        </w:rPr>
        <w:t>并具备相应资质的</w:t>
      </w:r>
      <w:r>
        <w:rPr>
          <w:rFonts w:hint="eastAsia" w:ascii="仿宋_GB2312" w:hAnsi="仿宋_GB2312" w:eastAsia="仿宋_GB2312" w:cs="仿宋_GB2312"/>
          <w:color w:val="auto"/>
          <w:sz w:val="24"/>
          <w:szCs w:val="24"/>
          <w:lang w:eastAsia="zh-CN"/>
        </w:rPr>
        <w:t>承包商（</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具备</w:t>
      </w:r>
      <w:r>
        <w:rPr>
          <w:rFonts w:hint="eastAsia" w:ascii="仿宋_GB2312" w:hAnsi="仿宋_GB2312" w:eastAsia="仿宋_GB2312" w:cs="仿宋_GB2312"/>
          <w:color w:val="auto"/>
          <w:sz w:val="24"/>
          <w:szCs w:val="24"/>
        </w:rPr>
        <w:t>企业法人营业执照、税务登记证、组织机构代码证或三证合一新证、银行开户许可证</w:t>
      </w:r>
      <w:r>
        <w:rPr>
          <w:rFonts w:hint="eastAsia" w:ascii="仿宋_GB2312" w:hAnsi="仿宋_GB2312" w:eastAsia="仿宋_GB2312" w:cs="仿宋_GB2312"/>
          <w:color w:val="auto"/>
          <w:sz w:val="24"/>
          <w:szCs w:val="24"/>
          <w:lang w:val="en-US" w:eastAsia="zh-CN"/>
        </w:rPr>
        <w:t>等</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4.2</w:t>
      </w:r>
      <w:r>
        <w:rPr>
          <w:rFonts w:hint="eastAsia" w:ascii="仿宋_GB2312" w:hAnsi="仿宋_GB2312" w:eastAsia="仿宋_GB2312" w:cs="仿宋_GB2312"/>
          <w:color w:val="auto"/>
          <w:sz w:val="24"/>
          <w:szCs w:val="24"/>
          <w:lang w:val="en-US" w:eastAsia="zh-CN"/>
        </w:rPr>
        <w:t xml:space="preserve"> 报价人资质范围：</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FF0000"/>
          <w:sz w:val="24"/>
          <w:szCs w:val="24"/>
          <w:highlight w:val="none"/>
          <w:lang w:val="en-US" w:eastAsia="zh-CN"/>
        </w:rPr>
        <w:t>4.2.1 报价人资质范围：</w:t>
      </w:r>
      <w:bookmarkStart w:id="0" w:name="OLE_LINK1"/>
      <w:r>
        <w:rPr>
          <w:rFonts w:hint="eastAsia" w:ascii="仿宋_GB2312" w:hAnsi="仿宋_GB2312" w:eastAsia="仿宋_GB2312" w:cs="仿宋_GB2312"/>
          <w:color w:val="FF0000"/>
          <w:sz w:val="24"/>
          <w:szCs w:val="24"/>
          <w:highlight w:val="none"/>
          <w:lang w:val="en-US" w:eastAsia="zh-CN"/>
        </w:rPr>
        <w:t>必须具备安全评价资质（烟火爆竹制造业）。</w:t>
      </w:r>
    </w:p>
    <w:bookmarkEnd w:id="0"/>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4.2.2 </w:t>
      </w:r>
      <w:r>
        <w:rPr>
          <w:rFonts w:hint="eastAsia" w:ascii="仿宋_GB2312" w:hAnsi="仿宋_GB2312" w:eastAsia="仿宋_GB2312" w:cs="仿宋_GB2312"/>
          <w:color w:val="auto"/>
          <w:sz w:val="24"/>
          <w:szCs w:val="24"/>
          <w:highlight w:val="none"/>
          <w:lang w:eastAsia="zh-CN"/>
        </w:rPr>
        <w:t>必须有近</w:t>
      </w:r>
      <w:r>
        <w:rPr>
          <w:rFonts w:hint="eastAsia" w:ascii="仿宋_GB2312" w:hAnsi="仿宋_GB2312" w:eastAsia="仿宋_GB2312" w:cs="仿宋_GB2312"/>
          <w:color w:val="auto"/>
          <w:sz w:val="24"/>
          <w:szCs w:val="24"/>
          <w:highlight w:val="none"/>
          <w:lang w:val="en-US" w:eastAsia="zh-CN"/>
        </w:rPr>
        <w:t>3年同行业内良好的信誉，没有被政府有关部门或者相关行业协会通报过。</w:t>
      </w:r>
      <w:r>
        <w:rPr>
          <w:rFonts w:hint="eastAsia" w:ascii="仿宋_GB2312" w:hAnsi="仿宋_GB2312" w:eastAsia="仿宋_GB2312" w:cs="仿宋_GB2312"/>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具有固定的办公</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营业</w:t>
      </w:r>
      <w:r>
        <w:rPr>
          <w:rFonts w:hint="eastAsia" w:ascii="仿宋_GB2312" w:hAnsi="仿宋_GB2312" w:eastAsia="仿宋_GB2312" w:cs="仿宋_GB2312"/>
          <w:color w:val="auto"/>
          <w:sz w:val="24"/>
          <w:szCs w:val="24"/>
          <w:highlight w:val="none"/>
        </w:rPr>
        <w:t>场所及开展相关工作的办公条件。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4.4</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三年内未发生违法生产经营业绩。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4.5</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未列入中国铝业集团有限公司不合格承包商名单（含预警名单）及</w:t>
      </w:r>
      <w:r>
        <w:rPr>
          <w:rFonts w:hint="eastAsia" w:ascii="仿宋_GB2312" w:hAnsi="仿宋_GB2312" w:eastAsia="仿宋_GB2312" w:cs="仿宋_GB2312"/>
          <w:color w:val="auto"/>
          <w:sz w:val="24"/>
          <w:szCs w:val="24"/>
          <w:highlight w:val="none"/>
          <w:lang w:val="en-US" w:eastAsia="zh-CN"/>
        </w:rPr>
        <w:t>采购人内部发布的</w:t>
      </w:r>
      <w:r>
        <w:rPr>
          <w:rFonts w:hint="eastAsia" w:ascii="仿宋_GB2312" w:hAnsi="仿宋_GB2312" w:eastAsia="仿宋_GB2312" w:cs="仿宋_GB2312"/>
          <w:color w:val="auto"/>
          <w:sz w:val="24"/>
          <w:szCs w:val="24"/>
          <w:highlight w:val="none"/>
        </w:rPr>
        <w:t>黑名单。</w:t>
      </w:r>
    </w:p>
    <w:p>
      <w:pPr>
        <w:keepNext w:val="0"/>
        <w:keepLines w:val="0"/>
        <w:pageBreakBefore w:val="0"/>
        <w:widowControl w:val="0"/>
        <w:tabs>
          <w:tab w:val="left" w:leader="middleDot" w:pos="7560"/>
        </w:tabs>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4.6 参加报价的单位代表必须是报价单位的法人代表或委托代理人。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 xml:space="preserve">4.7 </w:t>
      </w:r>
      <w:r>
        <w:rPr>
          <w:rFonts w:hint="eastAsia" w:ascii="仿宋_GB2312" w:hAnsi="仿宋_GB2312" w:eastAsia="仿宋_GB2312" w:cs="仿宋_GB2312"/>
          <w:color w:val="auto"/>
          <w:sz w:val="24"/>
          <w:szCs w:val="24"/>
          <w:highlight w:val="none"/>
          <w:lang w:eastAsia="zh-CN"/>
        </w:rPr>
        <w:t>严格遵守</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各项要求</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在</w:t>
      </w:r>
      <w:r>
        <w:rPr>
          <w:rFonts w:hint="eastAsia" w:ascii="仿宋_GB2312" w:hAnsi="仿宋_GB2312" w:eastAsia="仿宋_GB2312" w:cs="仿宋_GB2312"/>
          <w:color w:val="auto"/>
          <w:sz w:val="24"/>
          <w:szCs w:val="24"/>
          <w:highlight w:val="none"/>
          <w:lang w:eastAsia="zh-CN"/>
        </w:rPr>
        <w:t>报价单位中选后，</w:t>
      </w:r>
      <w:r>
        <w:rPr>
          <w:rFonts w:hint="eastAsia" w:ascii="仿宋_GB2312" w:hAnsi="仿宋_GB2312" w:eastAsia="仿宋_GB2312" w:cs="仿宋_GB2312"/>
          <w:color w:val="auto"/>
          <w:sz w:val="24"/>
          <w:szCs w:val="24"/>
          <w:highlight w:val="none"/>
          <w:lang w:val="en-US" w:eastAsia="zh-CN"/>
        </w:rPr>
        <w:t>签订合同</w:t>
      </w:r>
      <w:r>
        <w:rPr>
          <w:rFonts w:hint="eastAsia" w:ascii="仿宋_GB2312" w:hAnsi="仿宋_GB2312" w:eastAsia="仿宋_GB2312" w:cs="仿宋_GB2312"/>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val="en-US" w:eastAsia="zh-CN"/>
        </w:rPr>
        <w:t xml:space="preserve">8 </w:t>
      </w:r>
      <w:r>
        <w:rPr>
          <w:rFonts w:hint="eastAsia" w:ascii="仿宋_GB2312" w:hAnsi="仿宋_GB2312" w:eastAsia="仿宋_GB2312" w:cs="仿宋_GB2312"/>
          <w:color w:val="auto"/>
          <w:sz w:val="24"/>
          <w:szCs w:val="24"/>
          <w:highlight w:val="none"/>
        </w:rPr>
        <w:t>本次采购活动不接受联合体报价</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不允许转包</w:t>
      </w:r>
      <w:r>
        <w:rPr>
          <w:rFonts w:hint="eastAsia" w:ascii="仿宋_GB2312" w:hAnsi="仿宋_GB2312" w:eastAsia="仿宋_GB2312" w:cs="仿宋_GB2312"/>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val="en-US" w:eastAsia="zh-CN"/>
        </w:rPr>
        <w:t xml:space="preserve">9 </w:t>
      </w:r>
      <w:r>
        <w:rPr>
          <w:rFonts w:hint="eastAsia" w:ascii="仿宋_GB2312" w:hAnsi="仿宋_GB2312" w:eastAsia="仿宋_GB2312" w:cs="仿宋_GB2312"/>
          <w:color w:val="auto"/>
          <w:sz w:val="24"/>
          <w:szCs w:val="24"/>
          <w:highlight w:val="none"/>
        </w:rPr>
        <w:t>本采购活动</w:t>
      </w:r>
      <w:r>
        <w:rPr>
          <w:rFonts w:hint="eastAsia" w:ascii="仿宋_GB2312" w:hAnsi="仿宋_GB2312" w:eastAsia="仿宋_GB2312" w:cs="仿宋_GB2312"/>
          <w:color w:val="auto"/>
          <w:sz w:val="24"/>
          <w:szCs w:val="24"/>
          <w:highlight w:val="none"/>
          <w:lang w:val="en-US" w:eastAsia="zh-CN"/>
        </w:rPr>
        <w:t>不</w:t>
      </w:r>
      <w:r>
        <w:rPr>
          <w:rFonts w:hint="eastAsia" w:ascii="仿宋_GB2312" w:hAnsi="仿宋_GB2312" w:eastAsia="仿宋_GB2312" w:cs="仿宋_GB2312"/>
          <w:color w:val="auto"/>
          <w:sz w:val="24"/>
          <w:szCs w:val="24"/>
          <w:highlight w:val="none"/>
        </w:rPr>
        <w:t>接受代理商报价。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val="en-US" w:eastAsia="zh-CN"/>
        </w:rPr>
        <w:t xml:space="preserve">10 </w:t>
      </w:r>
      <w:r>
        <w:rPr>
          <w:rFonts w:hint="eastAsia" w:ascii="仿宋_GB2312" w:hAnsi="仿宋_GB2312" w:eastAsia="仿宋_GB2312" w:cs="仿宋_GB2312"/>
          <w:color w:val="auto"/>
          <w:sz w:val="24"/>
          <w:szCs w:val="24"/>
          <w:highlight w:val="none"/>
        </w:rPr>
        <w:t>法律、行政法规规定的其他条件见“第二章报价人须知”。</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
          <w:bCs/>
          <w:sz w:val="24"/>
          <w:szCs w:val="24"/>
          <w:lang w:val="en-US" w:eastAsia="zh-CN"/>
        </w:rPr>
        <w:t xml:space="preserve"> 5 报价文件编制要求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报价文件数：商务文件正本</w:t>
      </w:r>
      <w:r>
        <w:rPr>
          <w:rFonts w:hint="eastAsia" w:ascii="仿宋_GB2312" w:hAnsi="仿宋_GB2312" w:eastAsia="仿宋_GB2312" w:cs="仿宋_GB2312"/>
          <w:sz w:val="24"/>
          <w:szCs w:val="24"/>
          <w:u w:val="single"/>
        </w:rPr>
        <w:t>1</w:t>
      </w:r>
      <w:r>
        <w:rPr>
          <w:rFonts w:hint="eastAsia" w:ascii="仿宋_GB2312" w:hAnsi="仿宋_GB2312" w:eastAsia="仿宋_GB2312" w:cs="仿宋_GB2312"/>
          <w:sz w:val="24"/>
          <w:szCs w:val="24"/>
        </w:rPr>
        <w:t>份、副本</w:t>
      </w:r>
      <w:r>
        <w:rPr>
          <w:rFonts w:hint="eastAsia" w:ascii="仿宋_GB2312" w:hAnsi="仿宋_GB2312" w:eastAsia="仿宋_GB2312" w:cs="仿宋_GB2312"/>
          <w:sz w:val="24"/>
          <w:szCs w:val="24"/>
          <w:u w:val="single"/>
        </w:rPr>
        <w:t>1</w:t>
      </w:r>
      <w:r>
        <w:rPr>
          <w:rFonts w:hint="eastAsia" w:ascii="仿宋_GB2312" w:hAnsi="仿宋_GB2312" w:eastAsia="仿宋_GB2312" w:cs="仿宋_GB2312"/>
          <w:sz w:val="24"/>
          <w:szCs w:val="24"/>
        </w:rPr>
        <w:t>份、密封在一个封袋内。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rPr>
        <w:t>5.2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评审方法：详见本采购文件第三章。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6 有以下情况之一的，报价无效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6.1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报价文件未密封或逾期送达。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w:t>
      </w:r>
      <w:r>
        <w:rPr>
          <w:rFonts w:hint="eastAsia" w:ascii="仿宋_GB2312" w:hAnsi="仿宋_GB2312" w:eastAsia="仿宋_GB2312" w:cs="仿宋_GB2312"/>
          <w:sz w:val="24"/>
          <w:szCs w:val="24"/>
          <w:lang w:val="en-US" w:eastAsia="zh-CN"/>
        </w:rPr>
        <w:t xml:space="preserve"> 报价人未按要求，</w:t>
      </w:r>
      <w:r>
        <w:rPr>
          <w:rFonts w:hint="eastAsia" w:ascii="仿宋_GB2312" w:hAnsi="仿宋_GB2312" w:eastAsia="仿宋_GB2312" w:cs="仿宋_GB2312"/>
          <w:sz w:val="24"/>
          <w:szCs w:val="24"/>
        </w:rPr>
        <w:t>加盖单位公章和法人代表（法人委托人）的印章（签名）</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报价文件字迹模糊不清或内容自相矛盾。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 xml:space="preserve">4 </w:t>
      </w:r>
      <w:r>
        <w:rPr>
          <w:rFonts w:hint="eastAsia" w:ascii="仿宋_GB2312" w:hAnsi="仿宋_GB2312" w:eastAsia="仿宋_GB2312" w:cs="仿宋_GB2312"/>
          <w:sz w:val="24"/>
          <w:szCs w:val="24"/>
        </w:rPr>
        <w:t>经</w:t>
      </w:r>
      <w:r>
        <w:rPr>
          <w:rFonts w:hint="eastAsia" w:ascii="仿宋_GB2312" w:hAnsi="仿宋_GB2312" w:eastAsia="仿宋_GB2312" w:cs="仿宋_GB2312"/>
          <w:sz w:val="24"/>
          <w:szCs w:val="24"/>
          <w:lang w:eastAsia="zh-CN"/>
        </w:rPr>
        <w:t>评审小组</w:t>
      </w:r>
      <w:r>
        <w:rPr>
          <w:rFonts w:hint="eastAsia" w:ascii="仿宋_GB2312" w:hAnsi="仿宋_GB2312" w:eastAsia="仿宋_GB2312" w:cs="仿宋_GB2312"/>
          <w:sz w:val="24"/>
          <w:szCs w:val="24"/>
        </w:rPr>
        <w:t>评为无效报价的。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6.5 出现违反采购活动会场要求纪律的为无效报价。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 xml:space="preserve">6 </w:t>
      </w:r>
      <w:r>
        <w:rPr>
          <w:rFonts w:hint="eastAsia" w:ascii="仿宋_GB2312" w:hAnsi="仿宋_GB2312" w:eastAsia="仿宋_GB2312" w:cs="仿宋_GB2312"/>
          <w:sz w:val="24"/>
          <w:szCs w:val="24"/>
        </w:rPr>
        <w:t>不符合采购文件中其他要求的。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采购文件的修改</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从采购文件发出至报价截止日期，采购人可能会对已发出的采购文件进行澄清、答复、修改或补充，该内容为采购文件的组成部分。采购人将以书面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或电子版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形式同时发给所有获得采购文件的采购人。除</w:t>
      </w:r>
      <w:r>
        <w:rPr>
          <w:rFonts w:hint="eastAsia" w:ascii="仿宋_GB2312" w:hAnsi="仿宋_GB2312" w:eastAsia="仿宋_GB2312" w:cs="仿宋_GB2312"/>
          <w:sz w:val="24"/>
          <w:szCs w:val="24"/>
          <w:lang w:val="en-US" w:eastAsia="zh-CN"/>
        </w:rPr>
        <w:t>采购人以</w:t>
      </w:r>
      <w:r>
        <w:rPr>
          <w:rFonts w:hint="eastAsia" w:ascii="仿宋_GB2312" w:hAnsi="仿宋_GB2312" w:eastAsia="仿宋_GB2312" w:cs="仿宋_GB2312"/>
          <w:sz w:val="24"/>
          <w:szCs w:val="24"/>
        </w:rPr>
        <w:t>书面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或电子版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形式以外的其他澄清、答复、修改或补充内容均无效。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8</w:t>
      </w:r>
      <w:r>
        <w:rPr>
          <w:rFonts w:hint="eastAsia" w:ascii="仿宋_GB2312" w:hAnsi="仿宋_GB2312" w:eastAsia="仿宋_GB2312" w:cs="仿宋_GB2312"/>
          <w:b/>
          <w:bCs/>
          <w:sz w:val="24"/>
          <w:szCs w:val="24"/>
          <w:lang w:val="en-US" w:eastAsia="zh-CN"/>
        </w:rPr>
        <w:t xml:space="preserve"> 报价</w:t>
      </w:r>
      <w:r>
        <w:rPr>
          <w:rFonts w:hint="eastAsia" w:ascii="仿宋_GB2312" w:hAnsi="仿宋_GB2312" w:eastAsia="仿宋_GB2312" w:cs="仿宋_GB2312"/>
          <w:b/>
          <w:bCs/>
          <w:sz w:val="24"/>
          <w:szCs w:val="24"/>
        </w:rPr>
        <w:t>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_GB2312" w:hAnsi="仿宋_GB2312" w:eastAsia="仿宋_GB2312" w:cs="仿宋_GB2312"/>
          <w:color w:val="FF0000"/>
          <w:sz w:val="24"/>
          <w:szCs w:val="24"/>
          <w:highlight w:val="none"/>
        </w:rPr>
      </w:pPr>
      <w:r>
        <w:rPr>
          <w:rFonts w:hint="eastAsia" w:ascii="仿宋_GB2312" w:hAnsi="仿宋_GB2312" w:eastAsia="仿宋_GB2312" w:cs="仿宋_GB2312"/>
          <w:color w:val="auto"/>
          <w:sz w:val="24"/>
          <w:szCs w:val="24"/>
          <w:lang w:val="en-US" w:eastAsia="zh-CN"/>
        </w:rPr>
        <w:t>自采购公告发布之日起至</w:t>
      </w:r>
      <w:r>
        <w:rPr>
          <w:rFonts w:hint="eastAsia" w:ascii="仿宋_GB2312" w:hAnsi="仿宋_GB2312" w:eastAsia="仿宋_GB2312" w:cs="仿宋_GB2312"/>
          <w:b/>
          <w:bCs/>
          <w:color w:val="FF0000"/>
          <w:sz w:val="24"/>
          <w:szCs w:val="24"/>
          <w:highlight w:val="none"/>
          <w:lang w:val="en-US" w:eastAsia="zh-CN"/>
        </w:rPr>
        <w:t>2024年11月15日14:00(北京时间)</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lang w:val="en-US" w:eastAsia="zh-CN"/>
        </w:rPr>
        <w:t>逾期递交</w:t>
      </w:r>
      <w:r>
        <w:rPr>
          <w:rFonts w:hint="eastAsia" w:ascii="仿宋_GB2312" w:hAnsi="仿宋_GB2312" w:eastAsia="仿宋_GB2312" w:cs="仿宋_GB2312"/>
          <w:color w:val="auto"/>
          <w:sz w:val="24"/>
          <w:szCs w:val="24"/>
          <w:highlight w:val="none"/>
        </w:rPr>
        <w:t>的采购文件恕不接受。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9</w:t>
      </w:r>
      <w:r>
        <w:rPr>
          <w:rFonts w:hint="eastAsia" w:ascii="仿宋_GB2312" w:hAnsi="仿宋_GB2312" w:eastAsia="仿宋_GB2312" w:cs="仿宋_GB2312"/>
          <w:b/>
          <w:bCs/>
          <w:sz w:val="24"/>
          <w:szCs w:val="24"/>
          <w:lang w:val="en-US" w:eastAsia="zh-CN"/>
        </w:rPr>
        <w:t xml:space="preserve"> 报价截止</w:t>
      </w:r>
      <w:r>
        <w:rPr>
          <w:rFonts w:hint="eastAsia" w:ascii="仿宋_GB2312" w:hAnsi="仿宋_GB2312" w:eastAsia="仿宋_GB2312" w:cs="仿宋_GB2312"/>
          <w:b/>
          <w:bCs/>
          <w:sz w:val="24"/>
          <w:szCs w:val="24"/>
        </w:rPr>
        <w:t>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color w:val="FF0000"/>
          <w:sz w:val="24"/>
          <w:szCs w:val="24"/>
          <w:highlight w:val="none"/>
          <w:lang w:eastAsia="zh-CN"/>
        </w:rPr>
      </w:pPr>
      <w:r>
        <w:rPr>
          <w:rFonts w:hint="eastAsia" w:ascii="仿宋_GB2312" w:hAnsi="仿宋_GB2312" w:eastAsia="仿宋_GB2312" w:cs="仿宋_GB2312"/>
          <w:b/>
          <w:bCs/>
          <w:color w:val="FF0000"/>
          <w:sz w:val="24"/>
          <w:szCs w:val="24"/>
          <w:highlight w:val="none"/>
          <w:lang w:val="en-US" w:eastAsia="zh-CN"/>
        </w:rPr>
        <w:t>2024年11月15日14:00(北京时间)</w:t>
      </w:r>
      <w:r>
        <w:rPr>
          <w:rFonts w:hint="eastAsia" w:ascii="仿宋_GB2312" w:hAnsi="仿宋_GB2312" w:eastAsia="仿宋_GB2312" w:cs="仿宋_GB2312"/>
          <w:color w:val="FF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10</w:t>
      </w:r>
      <w:r>
        <w:rPr>
          <w:rFonts w:hint="eastAsia" w:ascii="仿宋_GB2312" w:hAnsi="仿宋_GB2312" w:eastAsia="仿宋_GB2312" w:cs="仿宋_GB2312"/>
          <w:b/>
          <w:bCs/>
          <w:color w:val="auto"/>
          <w:sz w:val="24"/>
          <w:szCs w:val="24"/>
          <w:lang w:val="en-US" w:eastAsia="zh-CN"/>
        </w:rPr>
        <w:t xml:space="preserve"> 报价及评审</w:t>
      </w:r>
      <w:r>
        <w:rPr>
          <w:rFonts w:hint="eastAsia" w:ascii="仿宋_GB2312" w:hAnsi="仿宋_GB2312" w:eastAsia="仿宋_GB2312" w:cs="仿宋_GB2312"/>
          <w:b/>
          <w:bCs/>
          <w:color w:val="auto"/>
          <w:sz w:val="24"/>
          <w:szCs w:val="24"/>
        </w:rPr>
        <w:t>地点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lang w:val="en-US" w:eastAsia="zh-CN"/>
        </w:rPr>
        <w:t>安全环保健康部201会议室。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11 采购联系人及联系方式</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color w:val="FF0000"/>
          <w:sz w:val="24"/>
          <w:szCs w:val="24"/>
          <w:highlight w:val="none"/>
          <w:u w:val="none"/>
          <w:lang w:val="en-US" w:eastAsia="zh-CN"/>
        </w:rPr>
      </w:pPr>
      <w:r>
        <w:rPr>
          <w:rFonts w:hint="eastAsia" w:ascii="仿宋_GB2312" w:hAnsi="仿宋_GB2312" w:eastAsia="仿宋_GB2312" w:cs="仿宋_GB2312"/>
          <w:b/>
          <w:bCs/>
          <w:color w:val="FF0000"/>
          <w:sz w:val="24"/>
          <w:szCs w:val="24"/>
          <w:highlight w:val="none"/>
          <w:u w:val="none"/>
          <w:lang w:val="en-US" w:eastAsia="zh-CN"/>
        </w:rPr>
        <w:t>联 系 人：郭先生</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color w:val="FF0000"/>
          <w:sz w:val="24"/>
          <w:szCs w:val="24"/>
          <w:highlight w:val="none"/>
          <w:u w:val="none"/>
          <w:lang w:val="en-US" w:eastAsia="zh-CN"/>
        </w:rPr>
      </w:pPr>
      <w:r>
        <w:rPr>
          <w:rFonts w:hint="eastAsia" w:ascii="仿宋_GB2312" w:hAnsi="仿宋_GB2312" w:eastAsia="仿宋_GB2312" w:cs="仿宋_GB2312"/>
          <w:b/>
          <w:bCs/>
          <w:color w:val="FF0000"/>
          <w:sz w:val="24"/>
          <w:szCs w:val="24"/>
          <w:highlight w:val="none"/>
          <w:u w:val="none"/>
          <w:lang w:val="en-US" w:eastAsia="zh-CN"/>
        </w:rPr>
        <w:t>电    话：0391-3501002；</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color w:val="FF0000"/>
          <w:sz w:val="24"/>
          <w:szCs w:val="24"/>
          <w:highlight w:val="none"/>
          <w:u w:val="none"/>
          <w:lang w:val="en-US" w:eastAsia="zh-CN"/>
        </w:rPr>
      </w:pPr>
      <w:r>
        <w:rPr>
          <w:rFonts w:hint="eastAsia" w:ascii="仿宋_GB2312" w:hAnsi="仿宋_GB2312" w:eastAsia="仿宋_GB2312" w:cs="仿宋_GB2312"/>
          <w:b/>
          <w:bCs/>
          <w:color w:val="FF0000"/>
          <w:sz w:val="24"/>
          <w:szCs w:val="24"/>
          <w:highlight w:val="none"/>
          <w:u w:val="none"/>
          <w:lang w:val="en-US" w:eastAsia="zh-CN"/>
        </w:rPr>
        <w:t>电子邮箱：1004282415@qq.com</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12 采购单位开户行及账号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FF0000"/>
          <w:sz w:val="24"/>
          <w:szCs w:val="24"/>
          <w:highlight w:val="none"/>
          <w:lang w:val="en-US" w:eastAsia="zh-CN"/>
        </w:rPr>
        <w:t>名称：中铝中州铝业有限公司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FF0000"/>
          <w:sz w:val="24"/>
          <w:szCs w:val="24"/>
          <w:highlight w:val="none"/>
          <w:lang w:val="en-US" w:eastAsia="zh-CN"/>
        </w:rPr>
        <w:t>开户行：中国建设银行焦作分行中州铝厂支行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FF0000"/>
          <w:sz w:val="24"/>
          <w:szCs w:val="24"/>
          <w:highlight w:val="none"/>
          <w:lang w:val="en-US" w:eastAsia="zh-CN"/>
        </w:rPr>
        <w:t>账号：4100 1510 5130 5020 2680</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13 投诉举报部门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中铝中州铝业有限公司纪委工作部 （审计部）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电话：0391-3503580；邮箱：zzlyjw02@126.com</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中铝股份：010-82298446；中铝集团：010-82298683  </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83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keepLines/>
      <w:spacing w:beforeLines="100" w:afterLines="80" w:line="360" w:lineRule="auto"/>
      <w:jc w:val="center"/>
      <w:outlineLvl w:val="0"/>
    </w:pPr>
    <w:rPr>
      <w:b/>
      <w:bCs/>
      <w:kern w:val="44"/>
      <w:sz w:val="32"/>
      <w:szCs w:val="4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rPr>
      <w:rFonts w:asciiTheme="minorHAnsi" w:hAnsiTheme="minorHAnsi" w:eastAsiaTheme="minorEastAsia" w:cstheme="minorBidi"/>
      <w:szCs w:val="22"/>
    </w:rPr>
  </w:style>
  <w:style w:type="paragraph" w:styleId="3">
    <w:name w:val="Body Text"/>
    <w:basedOn w:val="1"/>
    <w:qFormat/>
    <w:uiPriority w:val="0"/>
    <w:pPr>
      <w:spacing w:after="120"/>
    </w:pPr>
  </w:style>
  <w:style w:type="paragraph" w:styleId="5">
    <w:name w:val="Normal Indent"/>
    <w:basedOn w:val="1"/>
    <w:qFormat/>
    <w:uiPriority w:val="99"/>
    <w:pPr>
      <w:ind w:firstLine="560" w:firstLineChars="200"/>
    </w:pPr>
    <w:rPr>
      <w:sz w:val="28"/>
      <w:szCs w:val="20"/>
    </w:rPr>
  </w:style>
  <w:style w:type="paragraph" w:styleId="6">
    <w:name w:val="Body Text Indent"/>
    <w:basedOn w:val="1"/>
    <w:next w:val="5"/>
    <w:qFormat/>
    <w:uiPriority w:val="99"/>
    <w:pPr>
      <w:spacing w:after="120"/>
      <w:ind w:left="420" w:leftChars="200"/>
    </w:pPr>
  </w:style>
  <w:style w:type="paragraph" w:styleId="7">
    <w:name w:val="Title"/>
    <w:basedOn w:val="1"/>
    <w:next w:val="1"/>
    <w:qFormat/>
    <w:uiPriority w:val="99"/>
    <w:pPr>
      <w:spacing w:before="240" w:after="60"/>
      <w:jc w:val="center"/>
      <w:outlineLvl w:val="0"/>
    </w:pPr>
    <w:rPr>
      <w:rFonts w:ascii="Cambria" w:hAnsi="Cambria"/>
      <w:b/>
      <w:bCs/>
      <w:sz w:val="32"/>
      <w:szCs w:val="32"/>
    </w:rPr>
  </w:style>
  <w:style w:type="paragraph" w:styleId="8">
    <w:name w:val="Body Text First Indent 2"/>
    <w:basedOn w:val="6"/>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2024-11-08T00:26:26Z</dcterms:created>
  <dc:creator>Administrator</dc:creator>
  <cp:lastModifiedBy>喜迎斌</cp:lastModifiedBy>
  <dcterms:modified xsi:type="dcterms:W3CDTF">2024-11-08T00:26:43Z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B174CA84725D4D51840228FF4CE00F76</vt:lpwstr>
  </property>
</Properties>
</file>