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</w:rPr>
        <w:t>采购失败公告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采购编号：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CG-ZZ-202501-AHB-AQGL-002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新法炼镁项目安全文明施工宣传服务采购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日1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:00，安全环保健康部组织了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新法炼镁项目安全文明施工宣传服务采购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工作，因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一家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报价单位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材料不符合采购文件要求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不满足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3家单位。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故</w:t>
      </w:r>
      <w:r>
        <w:rPr>
          <w:rFonts w:hint="eastAsia" w:ascii="宋体" w:hAnsi="宋体" w:eastAsia="宋体" w:cs="宋体"/>
          <w:sz w:val="32"/>
          <w:szCs w:val="32"/>
        </w:rPr>
        <w:t>本次采购失败。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  <w:t>采购监督投诉举报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投诉举报部门：中铝中州铝业有限公司纪委工作部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 xml:space="preserve">电话：0391-3503580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邮箱：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zzlyjw02@126.com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中铝股份：010-82298446；中铝集团：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highlight w:val="none"/>
        </w:rPr>
        <w:t>010-82298683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安全环保健康部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2025年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236449C8"/>
    <w:rsid w:val="24AE697C"/>
    <w:rsid w:val="273B094A"/>
    <w:rsid w:val="2C0C6E18"/>
    <w:rsid w:val="34403A44"/>
    <w:rsid w:val="388A5A75"/>
    <w:rsid w:val="3EFD65C9"/>
    <w:rsid w:val="4A0122E3"/>
    <w:rsid w:val="50766910"/>
    <w:rsid w:val="57770C7B"/>
    <w:rsid w:val="5CD03076"/>
    <w:rsid w:val="5CD526CC"/>
    <w:rsid w:val="5F217D42"/>
    <w:rsid w:val="6735464C"/>
    <w:rsid w:val="7DE64A59"/>
    <w:rsid w:val="7E295D40"/>
    <w:rsid w:val="7EE54599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2024-02-20T08:43:00Z</dcterms:created>
  <dc:creator>Administrator</dc:creator>
  <cp:lastModifiedBy>喜迎斌</cp:lastModifiedBy>
  <dcterms:modified xsi:type="dcterms:W3CDTF">2025-03-07T07:07:17Z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9E0713764DB54E35955E57D15928FFC9_12</vt:lpwstr>
  </property>
</Properties>
</file>