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OLE_LINK9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***等5个</w:t>
      </w:r>
      <w:bookmarkEnd w:id="0"/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铝土矿资源获取技术尽职调查项目采购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3F034398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CG-ZZ-202505-SCGK-KSK-002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***等5个</w:t>
      </w:r>
      <w:r>
        <w:rPr>
          <w:rFonts w:hint="eastAsia" w:ascii="仿宋" w:hAnsi="仿宋" w:eastAsia="仿宋" w:cs="仿宋"/>
          <w:bCs/>
          <w:sz w:val="24"/>
          <w:lang w:eastAsia="zh-CN"/>
        </w:rPr>
        <w:t>铝土矿资源获取技术尽职调查项目已具备采购条件，资金自筹且已落实。采购人为：中铝中州铝业有限公司生产管控中心。采购人对该项目进行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公开询比采购</w:t>
      </w:r>
      <w:r>
        <w:rPr>
          <w:rFonts w:hint="eastAsia" w:ascii="仿宋" w:hAnsi="仿宋" w:eastAsia="仿宋" w:cs="仿宋"/>
          <w:bCs/>
          <w:sz w:val="24"/>
          <w:lang w:eastAsia="zh-CN"/>
        </w:rPr>
        <w:t>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2.1项目名称：***等5个</w:t>
      </w:r>
      <w:r>
        <w:rPr>
          <w:rFonts w:hint="eastAsia" w:ascii="仿宋" w:hAnsi="仿宋" w:eastAsia="仿宋" w:cs="仿宋"/>
          <w:bCs/>
          <w:sz w:val="24"/>
          <w:lang w:eastAsia="zh-CN"/>
        </w:rPr>
        <w:t>铝土矿资源获取技术尽职调查项目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733C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eastAsia="zh-CN"/>
        </w:rPr>
        <w:t>核实项目的基本情况，判明潜在重大缺陷及其对预期投资的可能影响，评述资源潜力和提升资产价值潜力的可能，明确可能存在的风险和问题，为可行性研究及公司决策提供依据，特进行此次采购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48625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2.4项目地点：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矿区所在地</w:t>
      </w:r>
    </w:p>
    <w:p w14:paraId="38AC3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2.5主要工作内容及质量标准要求：</w:t>
      </w:r>
    </w:p>
    <w:p w14:paraId="20F11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2.5.1工作内容</w:t>
      </w:r>
    </w:p>
    <w:p w14:paraId="78DD75B7">
      <w:pPr>
        <w:kinsoku/>
        <w:autoSpaceDE/>
        <w:autoSpaceDN/>
        <w:bidi w:val="0"/>
        <w:snapToGrid w:val="0"/>
        <w:spacing w:beforeAutospacing="0" w:after="0" w:afterAutospacing="0" w:line="560" w:lineRule="exact"/>
        <w:ind w:left="0" w:leftChars="0"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按照《中国铝业集团有限公司矿产资源项目技术尽职调查准则》对包1（***等3个铝土矿</w:t>
      </w:r>
      <w:bookmarkStart w:id="1" w:name="OLE_LINK2"/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，详见报价须知</w:t>
      </w:r>
      <w:bookmarkEnd w:id="1"/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）、包2（***2个铝土矿，详见报价须知）矿区开展技术尽职调查，编制技术尽职调查实施方案及技术尽职调查报告，分别通过我公司、中铝股份组织的专家评审。</w:t>
      </w:r>
    </w:p>
    <w:p w14:paraId="6F5CB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技术尽职调查与政府单位对接需要查询的内容包括但不限于：永久基本农田，生态保护红线，自然保护地（区），Ⅰ级和Ⅱ级保护林地，天然林保护重点区域，基本草原，国际重要湿地，国家重要湿地，世界自然（自然与文化）遗产地，沙化土地封禁保护区，饮用水水源保护区，村庄建设边界，城镇建设边界，地质灾害高易发地区，各类建设项目，文物保护单位保护范围（含古树名木），景区，公园，军事管制区等；</w:t>
      </w:r>
    </w:p>
    <w:p w14:paraId="3811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default" w:ascii="仿宋" w:hAnsi="仿宋" w:eastAsia="仿宋" w:cs="仿宋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4"/>
          <w:szCs w:val="24"/>
          <w:lang w:val="en-US" w:eastAsia="zh-CN" w:bidi="ar-SA"/>
        </w:rPr>
        <w:t>2.5.2质量要求</w:t>
      </w:r>
    </w:p>
    <w:p w14:paraId="7E8BF27E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2.5.2.1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符合《中国铝业集团有限公司矿产资源项目技术尽职调查准则》要求相关要求；</w:t>
      </w:r>
    </w:p>
    <w:p w14:paraId="7DD909E4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2.5.2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.2通过我公司、中铝股份组织的专家评审。</w:t>
      </w:r>
    </w:p>
    <w:p w14:paraId="2994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  <w:lang w:val="en-US" w:eastAsia="zh-CN"/>
        </w:rPr>
        <w:t>2.8工期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合同签订之日起至2025年6月20日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2C1FB07E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3.1中华人民共和国境内注册的独立法人，持有合法有效的法人营业执照或事业单位法人证书；</w:t>
      </w:r>
    </w:p>
    <w:p w14:paraId="4AC536DC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default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3.2勘查报告提交单位应主动回避参与该项目包段；</w:t>
      </w:r>
    </w:p>
    <w:p w14:paraId="0620A8A9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3.3最近三年内承担过地质勘查、勘查监理、矿业权核查等任何一类项目的合格业绩证明材料，具备履行合同的能力，包括资质状况，专业、能力，资金、设备和其他物质设施状况，管理能力，经验、信誉和相应的从业人员；</w:t>
      </w:r>
    </w:p>
    <w:p w14:paraId="5F2E0F43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3.4报价人没有处于被责令停业，报价资格没有被取消，财产没有被接管、冻结、破产状态；在最近三年内没有骗取中选和严重违约及重大质量问题；</w:t>
      </w:r>
    </w:p>
    <w:p w14:paraId="45CE0B86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3.5在承接类似于本项目的相关业务中，没有出现报价人负主要责任的安全、技术、质量、商务等纠纷，没有产生严重后果，造成重大经济损失，不得在招投标数据库中存在不良记录；</w:t>
      </w:r>
    </w:p>
    <w:p w14:paraId="292DFFE6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default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3.6信誉要求：报价人在全国法院失信被执行人名单信息公布与查询网（http://zxgk.court.gov.cn）和国家发展改革委信用中国（www.creditchina.gov.cn）网站上未被列入失信被执行人、重大税收违法案件当事人名单；未列入中铝集团有限公司承包商黑名单；</w:t>
      </w:r>
    </w:p>
    <w:p w14:paraId="030B581C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3.7具备法律、行政法规规定的其他资格条件；</w:t>
      </w:r>
    </w:p>
    <w:p w14:paraId="2307713F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3.8本项目不允许联合体报价；</w:t>
      </w:r>
    </w:p>
    <w:p w14:paraId="170A4173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outlineLvl w:val="3"/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highlight w:val="none"/>
          <w:lang w:val="en-US" w:eastAsia="zh-CN"/>
        </w:rPr>
        <w:t>3.9报价人的安全能力能满足采购文件的要求，包括资质能力、管理能力、人员能力、绩效能力等。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bookmarkStart w:id="2" w:name="_Toc518044994"/>
      <w:bookmarkStart w:id="3" w:name="_Toc517804008"/>
      <w:bookmarkStart w:id="4" w:name="_Toc3201944"/>
      <w:bookmarkStart w:id="5" w:name="_Toc27489"/>
      <w:r>
        <w:rPr>
          <w:rFonts w:hint="eastAsia" w:ascii="仿宋" w:hAnsi="仿宋" w:eastAsia="仿宋" w:cs="仿宋"/>
          <w:bCs/>
          <w:sz w:val="24"/>
          <w:lang w:val="en-US" w:eastAsia="zh-CN"/>
        </w:rPr>
        <w:t>4.1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ab/>
      </w:r>
    </w:p>
    <w:p w14:paraId="2713EFA7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default" w:ascii="仿宋" w:hAnsi="仿宋" w:eastAsia="仿宋" w:cs="仿宋"/>
          <w:bCs/>
          <w:color w:val="FF000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4"/>
          <w:highlight w:val="yellow"/>
          <w:lang w:val="en-US" w:eastAsia="zh-CN"/>
        </w:rPr>
        <w:t>报价保证金10000元（壹万元）</w:t>
      </w:r>
    </w:p>
    <w:p w14:paraId="7E0148EB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汇款信息如下（必须是公对公汇款）：</w:t>
      </w:r>
    </w:p>
    <w:p w14:paraId="373B70FE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开户名称：中铝中州铝业有限公司</w:t>
      </w:r>
    </w:p>
    <w:p w14:paraId="33C56CAF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开户行：中国工商银行焦作分行中铝支行</w:t>
      </w:r>
    </w:p>
    <w:p w14:paraId="4C850254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银行账号：1709028019200089451</w:t>
      </w:r>
    </w:p>
    <w:p w14:paraId="36540AC4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汇款备注中，须注明“资源获取技术尽职调查项目采购文件费”。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bCs/>
          <w:sz w:val="24"/>
          <w:lang w:eastAsia="zh-CN"/>
        </w:rPr>
        <w:t>购买采购文件时间：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自公告之日起至2025年5月27日20:00（北京时间）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采购文件必须通过联系人获取，未通过联系人获取采购文件的均视为无效采购，取消其报价资格。拟报价人必须将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bookmarkStart w:id="16" w:name="_GoBack"/>
      <w:bookmarkEnd w:id="16"/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2"/>
      <w:bookmarkEnd w:id="3"/>
      <w:bookmarkEnd w:id="4"/>
      <w:bookmarkEnd w:id="5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本次采购资格审查方式采用资格后审，在评审时由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sz w:val="24"/>
          <w:lang w:eastAsia="zh-CN"/>
        </w:rPr>
        <w:t>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6" w:name="_Toc3201945"/>
      <w:bookmarkStart w:id="7" w:name="_Toc9267"/>
      <w:bookmarkStart w:id="8" w:name="_Toc517804009"/>
      <w:bookmarkStart w:id="9" w:name="_Toc51804499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6"/>
      <w:bookmarkEnd w:id="7"/>
      <w:bookmarkEnd w:id="8"/>
      <w:bookmarkEnd w:id="9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lang w:eastAsia="zh-CN"/>
        </w:rPr>
        <w:t xml:space="preserve">.1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sz w:val="24"/>
          <w:lang w:eastAsia="zh-CN"/>
        </w:rPr>
        <w:t>文件递交截止时间/报价时间：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2025年5月28日9:00（北京时间）。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lang w:eastAsia="zh-CN"/>
        </w:rPr>
        <w:t>.2 报价及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sz w:val="24"/>
          <w:lang w:eastAsia="zh-CN"/>
        </w:rPr>
        <w:t>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0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10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1" w:name="_Toc518044997"/>
      <w:bookmarkStart w:id="12" w:name="_Toc517804011"/>
      <w:bookmarkStart w:id="13" w:name="_Toc22632"/>
      <w:bookmarkStart w:id="14" w:name="_Toc320194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11"/>
      <w:bookmarkEnd w:id="12"/>
      <w:bookmarkEnd w:id="13"/>
      <w:bookmarkEnd w:id="14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电  话：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0391-3505375        15687122286（加此微信获取采购文件）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电子邮箱：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5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5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2B77A440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开户名称：中铝中州铝业有限公司</w:t>
      </w:r>
    </w:p>
    <w:p w14:paraId="4CA2F66C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开户行：中国工商银行焦作分行中铝支行</w:t>
      </w:r>
    </w:p>
    <w:p w14:paraId="6A12B0AB">
      <w:pPr>
        <w:numPr>
          <w:ilvl w:val="0"/>
          <w:numId w:val="0"/>
        </w:numPr>
        <w:kinsoku/>
        <w:autoSpaceDE/>
        <w:autoSpaceDN/>
        <w:bidi w:val="0"/>
        <w:spacing w:beforeAutospacing="0" w:after="0" w:afterAutospacing="0" w:line="560" w:lineRule="exact"/>
        <w:ind w:left="0" w:leftChars="0" w:firstLine="480" w:firstLineChars="200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银行账号：1709028019200089451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37D6B45"/>
    <w:rsid w:val="05880374"/>
    <w:rsid w:val="05C532C6"/>
    <w:rsid w:val="08164F8D"/>
    <w:rsid w:val="0B2F3A13"/>
    <w:rsid w:val="0C9475FE"/>
    <w:rsid w:val="0E1F739B"/>
    <w:rsid w:val="10D73F5D"/>
    <w:rsid w:val="12451511"/>
    <w:rsid w:val="13F63820"/>
    <w:rsid w:val="142859FB"/>
    <w:rsid w:val="1464310E"/>
    <w:rsid w:val="165B2217"/>
    <w:rsid w:val="16D43419"/>
    <w:rsid w:val="171B1048"/>
    <w:rsid w:val="17EC6540"/>
    <w:rsid w:val="190C7CE1"/>
    <w:rsid w:val="19D11E91"/>
    <w:rsid w:val="1B2D3AE4"/>
    <w:rsid w:val="20B53F66"/>
    <w:rsid w:val="21AF0D0A"/>
    <w:rsid w:val="23720241"/>
    <w:rsid w:val="24A563F4"/>
    <w:rsid w:val="24B13AD7"/>
    <w:rsid w:val="28A714A1"/>
    <w:rsid w:val="2C43774A"/>
    <w:rsid w:val="2D1D4C6D"/>
    <w:rsid w:val="2D67693D"/>
    <w:rsid w:val="31D8306E"/>
    <w:rsid w:val="339064C2"/>
    <w:rsid w:val="346902C6"/>
    <w:rsid w:val="34E40FCA"/>
    <w:rsid w:val="35102E7B"/>
    <w:rsid w:val="38F73281"/>
    <w:rsid w:val="3C3E6CFB"/>
    <w:rsid w:val="3E0E49C6"/>
    <w:rsid w:val="3FE43E1D"/>
    <w:rsid w:val="411C2913"/>
    <w:rsid w:val="44590819"/>
    <w:rsid w:val="446724B7"/>
    <w:rsid w:val="45C368D4"/>
    <w:rsid w:val="464E0242"/>
    <w:rsid w:val="46CE4098"/>
    <w:rsid w:val="490F1FF3"/>
    <w:rsid w:val="4B4843E2"/>
    <w:rsid w:val="4C27758A"/>
    <w:rsid w:val="4EDB288F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F7F56ED"/>
    <w:rsid w:val="62272952"/>
    <w:rsid w:val="64D50E4D"/>
    <w:rsid w:val="652D5C58"/>
    <w:rsid w:val="65D0673C"/>
    <w:rsid w:val="662D3262"/>
    <w:rsid w:val="66CD3A0C"/>
    <w:rsid w:val="68103152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5181898"/>
    <w:rsid w:val="77720653"/>
    <w:rsid w:val="77E572A5"/>
    <w:rsid w:val="780D4FB8"/>
    <w:rsid w:val="79246A5D"/>
    <w:rsid w:val="7A22256E"/>
    <w:rsid w:val="7A2A7DCB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9">
    <w:name w:val="Body Text 2"/>
    <w:basedOn w:val="1"/>
    <w:next w:val="3"/>
    <w:qFormat/>
    <w:uiPriority w:val="0"/>
    <w:pPr>
      <w:spacing w:after="120" w:line="480" w:lineRule="auto"/>
    </w:pPr>
  </w:style>
  <w:style w:type="paragraph" w:styleId="10">
    <w:name w:val="Body Text First Indent 2"/>
    <w:basedOn w:val="8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2030</Words>
  <Characters>2346</Characters>
  <Lines>0</Lines>
  <Paragraphs>0</Paragraphs>
  <TotalTime>3</TotalTime>
  <ScaleCrop>false</ScaleCrop>
  <LinksUpToDate>false</LinksUpToDate>
  <CharactersWithSpaces>2362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2025-05-22T09:16:06Z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