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Cs/>
          <w:sz w:val="36"/>
          <w:szCs w:val="36"/>
          <w:lang w:eastAsia="zh-CN"/>
        </w:rPr>
      </w:pPr>
      <w:r>
        <w:rPr>
          <w:rFonts w:hint="eastAsia" w:ascii="黑体" w:hAnsi="黑体" w:eastAsia="黑体" w:cs="黑体"/>
          <w:bCs/>
          <w:sz w:val="36"/>
          <w:szCs w:val="36"/>
        </w:rPr>
        <w:t>中铝中州铝业有限公司冯营石灰石矿20</w:t>
      </w:r>
      <w:r>
        <w:rPr>
          <w:rFonts w:hint="eastAsia" w:ascii="黑体" w:hAnsi="黑体" w:eastAsia="黑体" w:cs="黑体"/>
          <w:bCs/>
          <w:sz w:val="36"/>
          <w:szCs w:val="36"/>
          <w:lang w:val="en-US" w:eastAsia="zh-CN"/>
        </w:rPr>
        <w:t>25</w:t>
      </w:r>
      <w:r>
        <w:rPr>
          <w:rFonts w:hint="eastAsia" w:ascii="黑体" w:hAnsi="黑体" w:eastAsia="黑体" w:cs="黑体"/>
          <w:bCs/>
          <w:sz w:val="36"/>
          <w:szCs w:val="36"/>
        </w:rPr>
        <w:t>年度储量动检核查</w:t>
      </w:r>
      <w:r>
        <w:rPr>
          <w:rFonts w:hint="eastAsia" w:ascii="黑体" w:hAnsi="黑体" w:eastAsia="黑体" w:cs="黑体"/>
          <w:bCs/>
          <w:sz w:val="36"/>
          <w:szCs w:val="36"/>
          <w:lang w:eastAsia="zh-CN"/>
        </w:rPr>
        <w:t>及</w:t>
      </w:r>
      <w:r>
        <w:rPr>
          <w:rFonts w:hint="eastAsia" w:ascii="黑体" w:hAnsi="黑体" w:eastAsia="黑体" w:cs="黑体"/>
          <w:bCs/>
          <w:sz w:val="36"/>
          <w:szCs w:val="36"/>
        </w:rPr>
        <w:t>是否超越批准范围采矿监测</w:t>
      </w:r>
      <w:r>
        <w:rPr>
          <w:rFonts w:hint="eastAsia" w:ascii="黑体" w:hAnsi="黑体" w:eastAsia="黑体" w:cs="黑体"/>
          <w:bCs/>
          <w:sz w:val="36"/>
          <w:szCs w:val="36"/>
          <w:lang w:eastAsia="zh-CN"/>
        </w:rPr>
        <w:t>项目</w:t>
      </w:r>
    </w:p>
    <w:p>
      <w:pPr>
        <w:spacing w:line="360" w:lineRule="auto"/>
        <w:jc w:val="center"/>
        <w:rPr>
          <w:rFonts w:hint="eastAsia" w:ascii="黑体" w:hAnsi="黑体" w:eastAsia="黑体" w:cs="黑体"/>
          <w:bCs/>
          <w:sz w:val="36"/>
          <w:szCs w:val="36"/>
        </w:rPr>
      </w:pPr>
      <w:r>
        <w:rPr>
          <w:rFonts w:hint="eastAsia" w:ascii="黑体" w:hAnsi="黑体" w:eastAsia="黑体" w:cs="黑体"/>
          <w:bCs/>
          <w:sz w:val="36"/>
          <w:szCs w:val="36"/>
          <w:lang w:val="en-US" w:eastAsia="zh-CN"/>
        </w:rPr>
        <w:t>第二次</w:t>
      </w:r>
      <w:bookmarkStart w:id="14" w:name="_GoBack"/>
      <w:bookmarkEnd w:id="14"/>
      <w:r>
        <w:rPr>
          <w:rFonts w:hint="eastAsia" w:ascii="黑体" w:hAnsi="黑体" w:eastAsia="黑体" w:cs="黑体"/>
          <w:bCs/>
          <w:sz w:val="36"/>
          <w:szCs w:val="36"/>
          <w:lang w:eastAsia="zh-CN"/>
        </w:rPr>
        <w:t>采购</w:t>
      </w:r>
      <w:r>
        <w:rPr>
          <w:rFonts w:hint="eastAsia" w:ascii="黑体" w:hAnsi="黑体" w:eastAsia="黑体" w:cs="黑体"/>
          <w:bCs/>
          <w:sz w:val="36"/>
          <w:szCs w:val="36"/>
        </w:rPr>
        <w:t>公告</w:t>
      </w:r>
    </w:p>
    <w:p>
      <w:pPr>
        <w:snapToGrid w:val="0"/>
        <w:spacing w:before="156" w:after="156" w:line="360" w:lineRule="auto"/>
        <w:jc w:val="center"/>
        <w:textAlignment w:val="baseline"/>
        <w:rPr>
          <w:rFonts w:hint="default" w:ascii="黑体" w:hAnsi="黑体" w:eastAsia="黑体" w:cs="黑体"/>
          <w:bCs/>
          <w:sz w:val="36"/>
          <w:szCs w:val="36"/>
          <w:lang w:val="en-US" w:eastAsia="zh-CN"/>
        </w:rPr>
      </w:pPr>
      <w:r>
        <w:rPr>
          <w:rFonts w:hint="eastAsia" w:ascii="黑体" w:hAnsi="黑体" w:eastAsia="黑体" w:cs="黑体"/>
          <w:bCs/>
          <w:sz w:val="36"/>
          <w:szCs w:val="36"/>
          <w:lang w:eastAsia="zh-CN"/>
        </w:rPr>
        <w:t>采购编号：</w:t>
      </w:r>
      <w:r>
        <w:rPr>
          <w:rFonts w:hint="eastAsia" w:ascii="黑体" w:hAnsi="黑体" w:eastAsia="黑体" w:cs="黑体"/>
          <w:bCs/>
          <w:sz w:val="36"/>
          <w:szCs w:val="36"/>
          <w:lang w:val="en-US" w:eastAsia="zh-CN"/>
        </w:rPr>
        <w:t>CG-ZZ-202509-SCGK-KSK-003</w:t>
      </w:r>
    </w:p>
    <w:p>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1采购条件</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中铝中州铝业有限公司冯营石灰石矿2025年度储量动检核查及是否超越批准范围采矿监测项目已具备采购条件，资金自筹且已落实。采购人为：中铝中州铝业有限公司生产管控中心。采购人对该项目进行公开询比采购，报价方式为现场报价。</w:t>
      </w:r>
    </w:p>
    <w:p>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2项目概况及采购范围</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2.1项目名称：中铝中州铝业有限公司冯营石灰石矿2025年度储量动检核查及是否超越批准范围采矿监测项目</w:t>
      </w:r>
    </w:p>
    <w:p>
      <w:pPr>
        <w:spacing w:line="440" w:lineRule="exact"/>
        <w:ind w:firstLine="480" w:firstLineChars="200"/>
        <w:rPr>
          <w:rFonts w:hint="default" w:ascii="仿宋" w:hAnsi="仿宋" w:eastAsia="仿宋" w:cs="仿宋"/>
          <w:bCs/>
          <w:sz w:val="24"/>
          <w:lang w:val="en-US" w:eastAsia="zh-CN"/>
        </w:rPr>
      </w:pPr>
      <w:r>
        <w:rPr>
          <w:rFonts w:hint="eastAsia" w:ascii="仿宋" w:hAnsi="仿宋" w:eastAsia="仿宋" w:cs="仿宋"/>
          <w:bCs/>
          <w:sz w:val="24"/>
          <w:lang w:val="en-US" w:eastAsia="zh-CN"/>
        </w:rPr>
        <w:t>2.2项目类型：技术服务</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2.3项目概况：中铝中州铝业有限公司冯营石灰石矿区位于焦作市马村区安阳城街道办事处和修武县七贤镇。矿区总面积1.45平方公里，矿区划分为a、b、c、d四个采区，a采区是现在唯一的生产采区，生产规模为100万吨/年，开采矿种为熔剂用石灰岩，开采方式为露天开采。</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为进一步规范矿山生产开采活动，促进矿山企业保护和合理开发利用资源，按照相关要求，由马村区各矿山企业自行委托具备相应资质及业务能力的第三方技术单位，对其2025年度矿山资源储量动态监测执行情况以及是否超越批准范围采矿等开展核查监测，提交矿山企业2025年度储量动检核查及是否超越批准范围采矿监测报告及相关资料。</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2.4项目地点</w:t>
      </w:r>
      <w:r>
        <w:rPr>
          <w:rFonts w:hint="eastAsia" w:ascii="仿宋" w:hAnsi="仿宋" w:eastAsia="仿宋" w:cs="仿宋"/>
          <w:bCs/>
          <w:color w:val="000000"/>
          <w:sz w:val="24"/>
          <w:highlight w:val="none"/>
          <w:lang w:val="en-US" w:eastAsia="zh-CN"/>
        </w:rPr>
        <w:t>：</w:t>
      </w:r>
      <w:r>
        <w:rPr>
          <w:rFonts w:hint="eastAsia" w:ascii="仿宋" w:hAnsi="仿宋" w:eastAsia="仿宋" w:cs="仿宋"/>
          <w:bCs/>
          <w:color w:val="000000"/>
          <w:sz w:val="24"/>
          <w:highlight w:val="none"/>
          <w:lang w:eastAsia="zh-CN"/>
        </w:rPr>
        <w:t>焦作市安阳城乡马冯营村北</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2.5主要工作内容及质量标准要求：</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2.5.1主要内容：</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一、实测矿山2025年度开采范围（平面范围、标高），与矿山企业2024年度备案的2025年度计划开采范围进行对比，判定矿山企业是否按照计划范围开采。</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二、将实测矿山2025年度开采范围（平面范围、标高）与矿山2025年度储量年报中动用范围以及标高对比，判定矿山储量年报动用块段范围数据与本次动检核查范围数据是否相符。</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三、将实测矿山2025年度开采范围（平面范围、标高）与矿山采矿许可证中规定的矿区范围、开采深度进行对比，判定矿山2025年度是否存在超出批准范围采矿的行为。</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四、年终提交2025年度矿山三维模型以及2025年度矿山储量动检核查及是否超越批准范围采矿监测报告。</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2.5.2质量要求：</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提交专家评审会通过的评审意见及年度储量动检核查和超越批准范围采矿监测报告。</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2.6报价注意事项：无。</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2.7其他要求：见合同格式中的相应条款。</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2.8工期：2025年11月8日至2026年11月7日。</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2.9其他要求：</w:t>
      </w:r>
    </w:p>
    <w:p>
      <w:pPr>
        <w:spacing w:line="440" w:lineRule="exact"/>
        <w:ind w:firstLine="480" w:firstLineChars="200"/>
        <w:rPr>
          <w:rFonts w:hint="default" w:ascii="仿宋" w:hAnsi="仿宋" w:eastAsia="仿宋" w:cs="仿宋"/>
          <w:bCs/>
          <w:sz w:val="24"/>
          <w:lang w:val="en-US" w:eastAsia="zh-CN"/>
        </w:rPr>
      </w:pPr>
      <w:r>
        <w:rPr>
          <w:rFonts w:hint="eastAsia" w:ascii="仿宋" w:hAnsi="仿宋" w:eastAsia="仿宋" w:cs="仿宋"/>
          <w:bCs/>
          <w:sz w:val="24"/>
          <w:lang w:val="en-US" w:eastAsia="zh-CN"/>
        </w:rPr>
        <w:t>此项目与中铝中州铝业有限公司冯营石灰石矿2025年度矿山储量年度报告编制项目不可同时中选，若某在石灰石矿2025年储量年报编制项目已中选，且同时在中铝中州铝业有限公司冯营石灰石矿2025年度储量动检核查及是否超越批准范围采矿监测项目评审中排名第一，则石灰石矿2025年超层越界项目中选单位顺延至第二名。</w:t>
      </w:r>
    </w:p>
    <w:p>
      <w:pPr>
        <w:spacing w:line="440" w:lineRule="exact"/>
        <w:ind w:firstLine="562" w:firstLineChars="200"/>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3报价人资格要求</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1在中华人民共和国依照《中华人民共和国民法典》注册的、具有履行合同的能力，具有测绘乙级以上资质，具有良好资金、设备和其他物质设施状况，良好的管理能力，经验、信誉和相应的从业人员，需提供企业法人营业执照、税务登记证、组织机构代码证或三证合一新证、银行开户许可证、资质证书，并加盖单位公章；</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2报价人没有处于被责令停业，报价资格没有被取消，财产没有被接管、冻结、破产状态；在最近三年内没有骗取中选和严重违约及重大质量问题；</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3报价人近三年（2022年9月1日至今）应具有类似已完成项目业绩，并提供相关合同复印件；</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4在承接类似于本项目的相关业务中，没有出现报价人负主要责任的安全、技术、质量、商务等纠纷，没有产生严重后果，造成重大经济损失，不得在报价数据库中存在不良记录；</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 xml:space="preserve">5信誉要求：报价人在全国法院失信被执行人名单信息公布与查询网(http://zxgk.court.gov.cn)和国家发展改革委信用中国（www.creditchina.gov.cn）网站上未被列入失信被执行人、重大税收违法案件当事人名单；未列入中铝集团承包商黑名单； </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6参加采购活动前三年之内，在经营活动中没有重大违法记录及安全事故记录；</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7禁止被列入国家失信被执行人名单或中铝集团禁入名单的服务商参与该采购活动；</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8本项目不接受联合体采购；</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9法律、行政法规规定的其他条件。</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10报价人的安全能力能满足招标文件的要求，包括资质能力、管理能力、人员能力、绩效能力等。</w:t>
      </w:r>
    </w:p>
    <w:p>
      <w:pPr>
        <w:spacing w:line="440" w:lineRule="exact"/>
        <w:ind w:firstLine="562" w:firstLineChars="200"/>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4采购报名和采购文件的获取</w:t>
      </w:r>
    </w:p>
    <w:p>
      <w:pPr>
        <w:spacing w:line="440" w:lineRule="exact"/>
        <w:ind w:firstLine="480" w:firstLineChars="200"/>
        <w:rPr>
          <w:rFonts w:hint="eastAsia" w:ascii="仿宋" w:hAnsi="仿宋" w:eastAsia="仿宋" w:cs="仿宋"/>
          <w:bCs/>
          <w:sz w:val="24"/>
          <w:lang w:val="en-US" w:eastAsia="zh-CN"/>
        </w:rPr>
      </w:pPr>
      <w:bookmarkStart w:id="0" w:name="_Toc27489"/>
      <w:bookmarkStart w:id="1" w:name="_Toc517804008"/>
      <w:bookmarkStart w:id="2" w:name="_Toc518044994"/>
      <w:bookmarkStart w:id="3" w:name="_Toc3201944"/>
      <w:r>
        <w:rPr>
          <w:rFonts w:hint="eastAsia" w:ascii="仿宋" w:hAnsi="仿宋" w:eastAsia="仿宋" w:cs="仿宋"/>
          <w:bCs/>
          <w:sz w:val="24"/>
          <w:lang w:val="en-US" w:eastAsia="zh-CN"/>
        </w:rPr>
        <w:t>4.1采购文件的价格为200元/份，采购文件购买后该费用无论何种原因或中选与否均不予退还。采购文件必须通过联系人获取，未通过联系人获取采购文件的均视为无效采购，取消其报价资格。拟报价人必须将付款凭证原件、传真（或扫描后电子邮件）传送至联系人后方可取得采购文件（纸质版或电子版）。纸质版可到采购人处领取，电子版通过微信方式发至报价联系人。</w:t>
      </w:r>
      <w:r>
        <w:rPr>
          <w:rFonts w:hint="eastAsia" w:ascii="仿宋" w:hAnsi="仿宋" w:eastAsia="仿宋" w:cs="仿宋"/>
          <w:bCs/>
          <w:sz w:val="24"/>
          <w:lang w:val="en-US" w:eastAsia="zh-CN"/>
        </w:rPr>
        <w:tab/>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汇款信息如下（必须是公对公汇款）：</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开户名称：中铝中州矿业有限公司</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开户行：中国银行焦作山阳支行</w:t>
      </w:r>
    </w:p>
    <w:p>
      <w:pPr>
        <w:spacing w:line="440" w:lineRule="exact"/>
        <w:ind w:firstLine="480" w:firstLineChars="200"/>
        <w:rPr>
          <w:rFonts w:hint="default" w:ascii="仿宋" w:hAnsi="仿宋" w:eastAsia="仿宋" w:cs="仿宋"/>
          <w:bCs/>
          <w:sz w:val="24"/>
          <w:lang w:val="en-US" w:eastAsia="zh-CN"/>
        </w:rPr>
      </w:pPr>
      <w:r>
        <w:rPr>
          <w:rFonts w:hint="eastAsia" w:ascii="仿宋" w:hAnsi="仿宋" w:eastAsia="仿宋" w:cs="仿宋"/>
          <w:bCs/>
          <w:sz w:val="24"/>
          <w:lang w:val="en-US" w:eastAsia="zh-CN"/>
        </w:rPr>
        <w:t>银行账号：259865455392</w:t>
      </w:r>
    </w:p>
    <w:p>
      <w:pPr>
        <w:spacing w:line="440" w:lineRule="exact"/>
        <w:ind w:firstLine="480" w:firstLineChars="200"/>
        <w:rPr>
          <w:rFonts w:hint="default" w:ascii="仿宋" w:hAnsi="仿宋" w:eastAsia="仿宋" w:cs="仿宋"/>
          <w:bCs/>
          <w:sz w:val="24"/>
          <w:lang w:val="en-US" w:eastAsia="zh-CN"/>
        </w:rPr>
      </w:pPr>
      <w:r>
        <w:rPr>
          <w:rFonts w:hint="eastAsia" w:ascii="仿宋" w:hAnsi="仿宋" w:eastAsia="仿宋" w:cs="仿宋"/>
          <w:bCs/>
          <w:sz w:val="24"/>
          <w:lang w:val="en-US" w:eastAsia="zh-CN"/>
        </w:rPr>
        <w:t>汇款备注中，“冯营石灰石矿2025年度储量动检核查及是否超越批准范围采矿监测项目文件费”。</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4.2 购买采购文件时间：自公告之日起至2025年9月19日22:30（北京时间）</w:t>
      </w:r>
    </w:p>
    <w:p>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val="en-US" w:eastAsia="zh-CN"/>
        </w:rPr>
        <w:t>采购文件必须通过联系人获取，未通过联系人获取采购文件的均视为无效采购，取消其报价资格。拟报价人</w:t>
      </w:r>
      <w:r>
        <w:rPr>
          <w:rFonts w:hint="eastAsia" w:ascii="仿宋" w:hAnsi="仿宋" w:eastAsia="仿宋" w:cs="仿宋"/>
          <w:bCs/>
          <w:sz w:val="24"/>
          <w:lang w:eastAsia="zh-CN"/>
        </w:rPr>
        <w:t>必须将</w:t>
      </w:r>
      <w:r>
        <w:rPr>
          <w:rFonts w:hint="eastAsia" w:ascii="仿宋_GB2312" w:hAnsi="Times New Roman" w:eastAsia="仿宋_GB2312" w:cs="Times New Roman"/>
          <w:bCs/>
          <w:color w:val="FF0000"/>
          <w:sz w:val="24"/>
          <w:highlight w:val="none"/>
        </w:rPr>
        <w:t>企业营业执照（三证合一）、开户许可证</w:t>
      </w:r>
      <w:r>
        <w:rPr>
          <w:rFonts w:hint="eastAsia" w:ascii="仿宋_GB2312" w:eastAsia="仿宋_GB2312" w:cs="Times New Roman"/>
          <w:bCs/>
          <w:color w:val="FF0000"/>
          <w:sz w:val="24"/>
          <w:highlight w:val="none"/>
          <w:lang w:eastAsia="zh-CN"/>
        </w:rPr>
        <w:t>、法人身份证（正反面）、文件费回执</w:t>
      </w:r>
      <w:r>
        <w:rPr>
          <w:rFonts w:hint="eastAsia" w:ascii="仿宋" w:hAnsi="仿宋" w:eastAsia="仿宋" w:cs="仿宋"/>
          <w:bCs/>
          <w:sz w:val="24"/>
          <w:lang w:eastAsia="zh-CN"/>
        </w:rPr>
        <w:t>等传送至联系人后方可取得采购文件（电子版）。</w:t>
      </w:r>
    </w:p>
    <w:p>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5资格审查方式</w:t>
      </w:r>
      <w:bookmarkEnd w:id="0"/>
      <w:bookmarkEnd w:id="1"/>
      <w:bookmarkEnd w:id="2"/>
      <w:bookmarkEnd w:id="3"/>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本次采购资格审查方式采用资格后审，在评审时由评审委员会对报价人进行资格审查。</w:t>
      </w:r>
    </w:p>
    <w:p>
      <w:pPr>
        <w:spacing w:line="440" w:lineRule="exact"/>
        <w:rPr>
          <w:rFonts w:hint="eastAsia" w:ascii="仿宋" w:hAnsi="仿宋" w:eastAsia="仿宋" w:cs="仿宋"/>
          <w:b/>
          <w:bCs w:val="0"/>
          <w:sz w:val="28"/>
          <w:szCs w:val="28"/>
          <w:lang w:val="en-US" w:eastAsia="zh-CN"/>
        </w:rPr>
      </w:pPr>
      <w:bookmarkStart w:id="4" w:name="_Toc517804009"/>
      <w:bookmarkStart w:id="5" w:name="_Toc518044995"/>
      <w:bookmarkStart w:id="6" w:name="_Toc3201945"/>
      <w:bookmarkStart w:id="7" w:name="_Toc9267"/>
      <w:r>
        <w:rPr>
          <w:rFonts w:hint="eastAsia" w:ascii="仿宋" w:hAnsi="仿宋" w:eastAsia="仿宋" w:cs="仿宋"/>
          <w:b/>
          <w:bCs w:val="0"/>
          <w:sz w:val="28"/>
          <w:szCs w:val="28"/>
          <w:lang w:val="en-US" w:eastAsia="zh-CN"/>
        </w:rPr>
        <w:t>6报价文件的递交</w:t>
      </w:r>
      <w:bookmarkEnd w:id="4"/>
      <w:bookmarkEnd w:id="5"/>
      <w:bookmarkEnd w:id="6"/>
      <w:bookmarkEnd w:id="7"/>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6.1 报价文件递交截止时间/报价时间：2025年9月20日14:00（北京时间）。</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6.2 报价及评审地点：中铝中州铝业生产管控中心矿山管理科会议室（中州铝业办公楼西保卫部三楼）</w:t>
      </w:r>
    </w:p>
    <w:p>
      <w:pPr>
        <w:spacing w:line="440" w:lineRule="exact"/>
        <w:rPr>
          <w:rFonts w:hint="eastAsia" w:ascii="仿宋" w:hAnsi="仿宋" w:eastAsia="仿宋" w:cs="仿宋"/>
          <w:b/>
          <w:bCs w:val="0"/>
          <w:sz w:val="28"/>
          <w:szCs w:val="28"/>
          <w:lang w:val="en-US" w:eastAsia="zh-CN"/>
        </w:rPr>
      </w:pPr>
      <w:bookmarkStart w:id="8" w:name="_Toc30303"/>
      <w:r>
        <w:rPr>
          <w:rFonts w:hint="eastAsia" w:ascii="仿宋" w:hAnsi="仿宋" w:eastAsia="仿宋" w:cs="仿宋"/>
          <w:b/>
          <w:bCs w:val="0"/>
          <w:sz w:val="28"/>
          <w:szCs w:val="28"/>
          <w:lang w:val="en-US" w:eastAsia="zh-CN"/>
        </w:rPr>
        <w:t>7发布公告的媒介</w:t>
      </w:r>
      <w:bookmarkEnd w:id="8"/>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我公司仅在中铝中州铝业有限公司（https://zzly.chinalco.com.cn/）发布有关该项目的采购信息，我公司郑重提醒各报价人注意：与该项目相关采购事宜均须与我公司指定人员联系，我公司对任何转载信息及由此产生的后果均不承担任何责任。</w:t>
      </w:r>
    </w:p>
    <w:p>
      <w:pPr>
        <w:spacing w:line="440" w:lineRule="exact"/>
        <w:rPr>
          <w:rFonts w:hint="eastAsia" w:ascii="仿宋" w:hAnsi="仿宋" w:eastAsia="仿宋" w:cs="仿宋"/>
          <w:b/>
          <w:bCs w:val="0"/>
          <w:sz w:val="28"/>
          <w:szCs w:val="28"/>
          <w:lang w:val="en-US" w:eastAsia="zh-CN"/>
        </w:rPr>
      </w:pPr>
      <w:bookmarkStart w:id="9" w:name="_Toc517804011"/>
      <w:bookmarkStart w:id="10" w:name="_Toc3201947"/>
      <w:bookmarkStart w:id="11" w:name="_Toc22632"/>
      <w:bookmarkStart w:id="12" w:name="_Toc518044997"/>
      <w:r>
        <w:rPr>
          <w:rFonts w:hint="eastAsia" w:ascii="仿宋" w:hAnsi="仿宋" w:eastAsia="仿宋" w:cs="仿宋"/>
          <w:b/>
          <w:bCs w:val="0"/>
          <w:sz w:val="28"/>
          <w:szCs w:val="28"/>
          <w:lang w:val="en-US" w:eastAsia="zh-CN"/>
        </w:rPr>
        <w:t>8联系方式</w:t>
      </w:r>
      <w:bookmarkEnd w:id="9"/>
      <w:bookmarkEnd w:id="10"/>
      <w:bookmarkEnd w:id="11"/>
      <w:bookmarkEnd w:id="12"/>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采购人：中铝中州铝业有限公司生产管控中心</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地  址：河南省修武县七贤镇中铝中州铝业有限公司</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联系人：王孝立</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电  话：0391-3505375        15544395273（加此微信获取采购文件）</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电子邮箱：3245396774@qq.com</w:t>
      </w:r>
    </w:p>
    <w:p>
      <w:pPr>
        <w:spacing w:line="440" w:lineRule="exact"/>
        <w:rPr>
          <w:rFonts w:hint="eastAsia" w:ascii="仿宋" w:hAnsi="仿宋" w:eastAsia="仿宋" w:cs="仿宋"/>
          <w:b/>
          <w:bCs w:val="0"/>
          <w:sz w:val="28"/>
          <w:szCs w:val="28"/>
          <w:lang w:val="en-US" w:eastAsia="zh-CN"/>
        </w:rPr>
      </w:pPr>
      <w:bookmarkStart w:id="13" w:name="_Toc32084"/>
      <w:r>
        <w:rPr>
          <w:rFonts w:hint="eastAsia" w:ascii="仿宋" w:hAnsi="仿宋" w:eastAsia="仿宋" w:cs="仿宋"/>
          <w:b/>
          <w:bCs w:val="0"/>
          <w:sz w:val="28"/>
          <w:szCs w:val="28"/>
          <w:lang w:val="en-US" w:eastAsia="zh-CN"/>
        </w:rPr>
        <w:t>9购买采购文件款请按如下地址汇款</w:t>
      </w:r>
      <w:bookmarkEnd w:id="13"/>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汇款信息如下（必须是公对公汇款）：</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开户名称：中铝中州矿业有限公司</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开户行：中国银行焦作山阳支行</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银行账号：259865455392</w:t>
      </w:r>
    </w:p>
    <w:p>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10监督部门：</w:t>
      </w:r>
      <w:r>
        <w:rPr>
          <w:rFonts w:hint="eastAsia" w:ascii="仿宋" w:hAnsi="仿宋" w:eastAsia="仿宋" w:cs="仿宋"/>
          <w:bCs/>
          <w:sz w:val="24"/>
          <w:lang w:val="en-US" w:eastAsia="zh-CN"/>
        </w:rPr>
        <w:t>投诉举报部门</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中铝中州铝业有限公司：0391-3503580</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中国铝业股份有限公司：010-82298446</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中国铝业集团有限公司：010-82298683</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邮箱：zzlyjw02@126.com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4NWNiZDU4MzFjZjFhOGMwMDk4ZWZiMWJkZTdhYWUifQ=="/>
  </w:docVars>
  <w:rsids>
    <w:rsidRoot w:val="00000000"/>
    <w:rsid w:val="00155351"/>
    <w:rsid w:val="00BA7CA7"/>
    <w:rsid w:val="02B7624C"/>
    <w:rsid w:val="037D6B45"/>
    <w:rsid w:val="0393643C"/>
    <w:rsid w:val="044E0E32"/>
    <w:rsid w:val="05880374"/>
    <w:rsid w:val="05C532C6"/>
    <w:rsid w:val="08164F8D"/>
    <w:rsid w:val="0AA27488"/>
    <w:rsid w:val="0B094A63"/>
    <w:rsid w:val="0B2F3A13"/>
    <w:rsid w:val="0C9475FE"/>
    <w:rsid w:val="0E1F739B"/>
    <w:rsid w:val="10D73F5D"/>
    <w:rsid w:val="11C10E95"/>
    <w:rsid w:val="12451511"/>
    <w:rsid w:val="12FB03D7"/>
    <w:rsid w:val="13F63820"/>
    <w:rsid w:val="142859FB"/>
    <w:rsid w:val="1464310E"/>
    <w:rsid w:val="163065E9"/>
    <w:rsid w:val="165B2217"/>
    <w:rsid w:val="16D43419"/>
    <w:rsid w:val="171B1048"/>
    <w:rsid w:val="17EC6540"/>
    <w:rsid w:val="190C7CE1"/>
    <w:rsid w:val="19D11E91"/>
    <w:rsid w:val="1B2D3AE4"/>
    <w:rsid w:val="20B53F66"/>
    <w:rsid w:val="20D0142F"/>
    <w:rsid w:val="21AF0D0A"/>
    <w:rsid w:val="23720241"/>
    <w:rsid w:val="24A563F4"/>
    <w:rsid w:val="24B13AD7"/>
    <w:rsid w:val="28643ED1"/>
    <w:rsid w:val="28A714A1"/>
    <w:rsid w:val="297840D8"/>
    <w:rsid w:val="2A3C3357"/>
    <w:rsid w:val="2C43774A"/>
    <w:rsid w:val="2D1D4C6D"/>
    <w:rsid w:val="2D67693D"/>
    <w:rsid w:val="2EDD7488"/>
    <w:rsid w:val="2FF64814"/>
    <w:rsid w:val="31003C8F"/>
    <w:rsid w:val="31B86A3F"/>
    <w:rsid w:val="31D8306E"/>
    <w:rsid w:val="339064C2"/>
    <w:rsid w:val="33BC290D"/>
    <w:rsid w:val="346902C6"/>
    <w:rsid w:val="34E40FCA"/>
    <w:rsid w:val="35102E7B"/>
    <w:rsid w:val="38F73281"/>
    <w:rsid w:val="3AE96BE3"/>
    <w:rsid w:val="3C3E6CFB"/>
    <w:rsid w:val="3E0E49C6"/>
    <w:rsid w:val="3FC30CA2"/>
    <w:rsid w:val="3FE43E1D"/>
    <w:rsid w:val="401A783F"/>
    <w:rsid w:val="411C2913"/>
    <w:rsid w:val="43E02B4D"/>
    <w:rsid w:val="44590819"/>
    <w:rsid w:val="446724B7"/>
    <w:rsid w:val="45C368D4"/>
    <w:rsid w:val="464E0242"/>
    <w:rsid w:val="46CE4098"/>
    <w:rsid w:val="48EC789E"/>
    <w:rsid w:val="490F1FF3"/>
    <w:rsid w:val="49695393"/>
    <w:rsid w:val="4B4843E2"/>
    <w:rsid w:val="4BBD5522"/>
    <w:rsid w:val="4C27758A"/>
    <w:rsid w:val="4CFD651E"/>
    <w:rsid w:val="4EDB288F"/>
    <w:rsid w:val="51735001"/>
    <w:rsid w:val="523C1897"/>
    <w:rsid w:val="53FF492A"/>
    <w:rsid w:val="550A42E0"/>
    <w:rsid w:val="56140091"/>
    <w:rsid w:val="571748E3"/>
    <w:rsid w:val="581D594B"/>
    <w:rsid w:val="59395101"/>
    <w:rsid w:val="5AFD146D"/>
    <w:rsid w:val="5B5434A8"/>
    <w:rsid w:val="5C0F4FE4"/>
    <w:rsid w:val="5E863CA9"/>
    <w:rsid w:val="5EC155FD"/>
    <w:rsid w:val="5F7F56ED"/>
    <w:rsid w:val="603248F4"/>
    <w:rsid w:val="62272952"/>
    <w:rsid w:val="63870498"/>
    <w:rsid w:val="64D50E4D"/>
    <w:rsid w:val="652D5C58"/>
    <w:rsid w:val="65D0673C"/>
    <w:rsid w:val="65EC71F6"/>
    <w:rsid w:val="662D3262"/>
    <w:rsid w:val="66CD3A0C"/>
    <w:rsid w:val="68103152"/>
    <w:rsid w:val="69856C60"/>
    <w:rsid w:val="6A627023"/>
    <w:rsid w:val="6BAD0EBB"/>
    <w:rsid w:val="6C4D6722"/>
    <w:rsid w:val="6D8242FF"/>
    <w:rsid w:val="6EA07640"/>
    <w:rsid w:val="6EC711C7"/>
    <w:rsid w:val="6EFB29F9"/>
    <w:rsid w:val="6F273B31"/>
    <w:rsid w:val="707814EF"/>
    <w:rsid w:val="70AD26B9"/>
    <w:rsid w:val="71AA575A"/>
    <w:rsid w:val="71ED7056"/>
    <w:rsid w:val="732C01D1"/>
    <w:rsid w:val="73DD17AE"/>
    <w:rsid w:val="74624D35"/>
    <w:rsid w:val="75181898"/>
    <w:rsid w:val="77720653"/>
    <w:rsid w:val="77E572A5"/>
    <w:rsid w:val="77F55EC0"/>
    <w:rsid w:val="780D4FB8"/>
    <w:rsid w:val="79246A5D"/>
    <w:rsid w:val="7A22256E"/>
    <w:rsid w:val="7A2A7DCB"/>
    <w:rsid w:val="7B564EC8"/>
    <w:rsid w:val="7B747B10"/>
    <w:rsid w:val="7F062761"/>
    <w:rsid w:val="7F0B2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line="360" w:lineRule="auto"/>
      <w:jc w:val="center"/>
      <w:outlineLvl w:val="0"/>
    </w:pPr>
    <w:rPr>
      <w:rFonts w:ascii="黑体" w:hAnsi="宋体" w:eastAsia="黑体"/>
      <w:kern w:val="44"/>
      <w:sz w:val="30"/>
      <w:szCs w:val="44"/>
    </w:rPr>
  </w:style>
  <w:style w:type="paragraph" w:styleId="3">
    <w:name w:val="heading 2"/>
    <w:basedOn w:val="1"/>
    <w:next w:val="1"/>
    <w:qFormat/>
    <w:uiPriority w:val="0"/>
    <w:pPr>
      <w:keepNext/>
      <w:keepLines/>
      <w:tabs>
        <w:tab w:val="left" w:pos="0"/>
      </w:tabs>
      <w:suppressAutoHyphens/>
      <w:spacing w:before="260" w:after="260" w:line="408" w:lineRule="auto"/>
      <w:ind w:left="576" w:hanging="576"/>
      <w:outlineLvl w:val="1"/>
    </w:pPr>
    <w:rPr>
      <w:rFonts w:ascii="Arial" w:hAnsi="Arial" w:eastAsia="黑体"/>
      <w:b/>
      <w:bCs/>
      <w:sz w:val="32"/>
      <w:szCs w:val="32"/>
      <w:lang w:eastAsia="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line="360" w:lineRule="auto"/>
      <w:ind w:firstLine="200" w:firstLineChars="200"/>
    </w:pPr>
    <w:rPr>
      <w:rFonts w:ascii="宋体" w:hAnsi="宋体"/>
      <w:sz w:val="24"/>
      <w:szCs w:val="20"/>
    </w:rPr>
  </w:style>
  <w:style w:type="paragraph" w:styleId="5">
    <w:name w:val="annotation text"/>
    <w:basedOn w:val="1"/>
    <w:qFormat/>
    <w:uiPriority w:val="0"/>
    <w:pPr>
      <w:jc w:val="left"/>
    </w:pPr>
    <w:rPr>
      <w:rFonts w:ascii="Calibri" w:hAnsi="Calibri" w:eastAsia="宋体" w:cs="Times New Roman"/>
    </w:rPr>
  </w:style>
  <w:style w:type="paragraph" w:styleId="6">
    <w:name w:val="Body Text"/>
    <w:basedOn w:val="1"/>
    <w:next w:val="1"/>
    <w:qFormat/>
    <w:uiPriority w:val="0"/>
    <w:pPr>
      <w:spacing w:after="120"/>
    </w:pPr>
  </w:style>
  <w:style w:type="paragraph" w:styleId="7">
    <w:name w:val="Body Text Indent"/>
    <w:basedOn w:val="1"/>
    <w:next w:val="4"/>
    <w:qFormat/>
    <w:uiPriority w:val="0"/>
    <w:pPr>
      <w:widowControl/>
      <w:spacing w:after="120" w:afterAutospacing="0"/>
      <w:ind w:left="420" w:leftChars="200"/>
      <w:jc w:val="left"/>
    </w:pPr>
    <w:rPr>
      <w:kern w:val="0"/>
      <w:sz w:val="20"/>
      <w:szCs w:val="20"/>
      <w:lang w:val="en-GB" w:eastAsia="en-US"/>
    </w:rPr>
  </w:style>
  <w:style w:type="paragraph" w:styleId="8">
    <w:name w:val="Body Text 2"/>
    <w:basedOn w:val="1"/>
    <w:next w:val="6"/>
    <w:qFormat/>
    <w:uiPriority w:val="0"/>
    <w:pPr>
      <w:spacing w:after="120" w:line="480" w:lineRule="auto"/>
    </w:pPr>
  </w:style>
  <w:style w:type="paragraph" w:styleId="9">
    <w:name w:val="Body Text First Indent"/>
    <w:basedOn w:val="6"/>
    <w:next w:val="1"/>
    <w:qFormat/>
    <w:uiPriority w:val="0"/>
    <w:pPr>
      <w:widowControl w:val="0"/>
      <w:spacing w:after="120"/>
      <w:ind w:firstLine="420" w:firstLineChars="100"/>
      <w:jc w:val="both"/>
    </w:pPr>
    <w:rPr>
      <w:kern w:val="2"/>
      <w:sz w:val="21"/>
      <w:szCs w:val="24"/>
      <w:lang w:val="en-US" w:eastAsia="zh-CN" w:bidi="ar-SA"/>
    </w:rPr>
  </w:style>
  <w:style w:type="paragraph" w:styleId="10">
    <w:name w:val="Body Text First Indent 2"/>
    <w:basedOn w:val="7"/>
    <w:unhideWhenUsed/>
    <w:qFormat/>
    <w:uiPriority w:val="99"/>
    <w:pPr>
      <w:spacing w:before="100" w:beforeAutospacing="1"/>
      <w:ind w:left="200" w:firstLine="420"/>
    </w:pPr>
  </w:style>
  <w:style w:type="character" w:customStyle="1" w:styleId="13">
    <w:name w:val="font12"/>
    <w:basedOn w:val="12"/>
    <w:qFormat/>
    <w:uiPriority w:val="0"/>
    <w:rPr>
      <w:rFonts w:hint="eastAsia" w:ascii="仿宋" w:hAnsi="仿宋" w:eastAsia="仿宋" w:cs="仿宋"/>
      <w:b/>
      <w:bCs/>
      <w:color w:val="000000"/>
      <w:sz w:val="24"/>
      <w:szCs w:val="24"/>
      <w:u w:val="none"/>
    </w:rPr>
  </w:style>
  <w:style w:type="character" w:customStyle="1" w:styleId="14">
    <w:name w:val="font111"/>
    <w:basedOn w:val="12"/>
    <w:qFormat/>
    <w:uiPriority w:val="0"/>
    <w:rPr>
      <w:rFonts w:hint="eastAsia" w:ascii="宋体" w:hAnsi="宋体" w:eastAsia="宋体" w:cs="宋体"/>
      <w:color w:val="000000"/>
      <w:sz w:val="22"/>
      <w:szCs w:val="22"/>
      <w:u w:val="none"/>
    </w:rPr>
  </w:style>
  <w:style w:type="character" w:customStyle="1" w:styleId="15">
    <w:name w:val="font122"/>
    <w:basedOn w:val="12"/>
    <w:qFormat/>
    <w:uiPriority w:val="0"/>
    <w:rPr>
      <w:rFonts w:hint="eastAsia" w:ascii="仿宋" w:hAnsi="仿宋" w:eastAsia="仿宋" w:cs="仿宋"/>
      <w:color w:val="000000"/>
      <w:sz w:val="24"/>
      <w:szCs w:val="24"/>
      <w:u w:val="none"/>
    </w:rPr>
  </w:style>
  <w:style w:type="character" w:customStyle="1" w:styleId="16">
    <w:name w:val="font221"/>
    <w:basedOn w:val="12"/>
    <w:qFormat/>
    <w:uiPriority w:val="0"/>
    <w:rPr>
      <w:rFonts w:hint="eastAsia" w:ascii="仿宋" w:hAnsi="仿宋" w:eastAsia="仿宋" w:cs="仿宋"/>
      <w:color w:val="000000"/>
      <w:sz w:val="20"/>
      <w:szCs w:val="20"/>
      <w:u w:val="none"/>
      <w:vertAlign w:val="subscript"/>
    </w:rPr>
  </w:style>
  <w:style w:type="paragraph" w:customStyle="1" w:styleId="17">
    <w:name w:val="列出段落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2431</Words>
  <Characters>2763</Characters>
  <Lines>0</Lines>
  <Paragraphs>0</Paragraphs>
  <TotalTime>0</TotalTime>
  <ScaleCrop>false</ScaleCrop>
  <LinksUpToDate>false</LinksUpToDate>
  <CharactersWithSpaces>2780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2023-06-16T02:53:00Z</dcterms:created>
  <dc:creator>Administrator</dc:creator>
  <cp:lastModifiedBy>灵灵</cp:lastModifiedBy>
  <dcterms:modified xsi:type="dcterms:W3CDTF">2025-09-17T10:18:11Z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E2998739EB744DF798B4578CEF13DF38_13</vt:lpwstr>
  </property>
</Properties>
</file>