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DCE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baseline"/>
        <w:rPr>
          <w:rFonts w:hint="eastAsia" w:ascii="黑体" w:hAnsi="黑体" w:eastAsia="黑体" w:cs="黑体"/>
          <w:bCs/>
          <w:sz w:val="36"/>
          <w:szCs w:val="36"/>
        </w:rPr>
      </w:pPr>
      <w:r>
        <w:rPr>
          <w:rFonts w:hint="eastAsia" w:ascii="黑体" w:hAnsi="黑体" w:eastAsia="黑体" w:cs="黑体"/>
          <w:bCs/>
          <w:sz w:val="36"/>
          <w:szCs w:val="36"/>
          <w:lang w:eastAsia="zh-CN"/>
        </w:rPr>
        <w:t>中国铝业股份有限公司</w:t>
      </w:r>
      <w:r>
        <w:rPr>
          <w:rFonts w:hint="eastAsia" w:ascii="黑体" w:hAnsi="黑体" w:eastAsia="黑体" w:cs="黑体"/>
          <w:bCs/>
          <w:sz w:val="36"/>
          <w:szCs w:val="36"/>
          <w:lang w:val="en-US" w:eastAsia="zh-CN"/>
        </w:rPr>
        <w:t>中州分公司贾家洼西</w:t>
      </w:r>
      <w:r>
        <w:rPr>
          <w:rFonts w:hint="eastAsia" w:ascii="黑体" w:hAnsi="黑体" w:eastAsia="黑体" w:cs="黑体"/>
          <w:bCs/>
          <w:sz w:val="36"/>
          <w:szCs w:val="36"/>
          <w:lang w:eastAsia="zh-CN"/>
        </w:rPr>
        <w:t>铝土矿</w:t>
      </w:r>
      <w:r>
        <w:rPr>
          <w:rFonts w:hint="eastAsia" w:ascii="黑体" w:hAnsi="黑体" w:eastAsia="黑体" w:cs="黑体"/>
          <w:bCs/>
          <w:sz w:val="36"/>
          <w:szCs w:val="36"/>
          <w:lang w:val="en-US" w:eastAsia="zh-CN"/>
        </w:rPr>
        <w:t>改扩建</w:t>
      </w:r>
      <w:r>
        <w:rPr>
          <w:rFonts w:hint="eastAsia" w:ascii="黑体" w:hAnsi="黑体" w:eastAsia="黑体" w:cs="黑体"/>
          <w:bCs/>
          <w:sz w:val="36"/>
          <w:szCs w:val="36"/>
          <w:lang w:eastAsia="zh-CN"/>
        </w:rPr>
        <w:t>可行性研究报告编制项目</w:t>
      </w:r>
      <w:r>
        <w:rPr>
          <w:rFonts w:hint="eastAsia" w:ascii="黑体" w:hAnsi="黑体" w:eastAsia="黑体" w:cs="黑体"/>
          <w:bCs/>
          <w:sz w:val="36"/>
          <w:szCs w:val="36"/>
          <w:lang w:eastAsia="zh-CN"/>
        </w:rPr>
        <w:t>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CG-ZZ-202509-SCGK-KSK-008</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中国铝业股份有限公司中州分公司贾家洼西铝土矿改扩建可行性研究报告编制项目</w:t>
      </w:r>
      <w:r>
        <w:rPr>
          <w:rFonts w:hint="eastAsia" w:ascii="仿宋" w:hAnsi="仿宋" w:eastAsia="仿宋" w:cs="仿宋"/>
          <w:bCs/>
          <w:sz w:val="24"/>
          <w:lang w:val="en-US" w:eastAsia="zh-CN"/>
        </w:rPr>
        <w:t>已具备采购条件，资金自筹且已落实。采购人为：中铝中州铝业有限公司生产管控中心。采购人对该项目进行谈判采购，报价方式为现场报价。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72BBBB5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baseline"/>
        <w:rPr>
          <w:rFonts w:hint="eastAsia" w:ascii="仿宋" w:hAnsi="仿宋" w:eastAsia="仿宋" w:cs="仿宋"/>
          <w:bCs/>
          <w:color w:val="auto"/>
          <w:sz w:val="24"/>
          <w:szCs w:val="24"/>
          <w:highlight w:val="none"/>
        </w:rPr>
      </w:pPr>
      <w:r>
        <w:rPr>
          <w:rFonts w:hint="eastAsia" w:ascii="仿宋" w:hAnsi="仿宋" w:eastAsia="仿宋" w:cs="仿宋"/>
          <w:bCs/>
          <w:sz w:val="24"/>
          <w:lang w:val="en-US" w:eastAsia="zh-CN"/>
        </w:rPr>
        <w:t>2.1项目名称：中国铝业股份有限公司中州分公司贾家洼西铝土矿改扩建可行性研究报告编制项目</w:t>
      </w:r>
    </w:p>
    <w:p w14:paraId="13E3B4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7712DFB8">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2.3项目概况：</w:t>
      </w:r>
      <w:bookmarkStart w:id="0" w:name="OLE_LINK3"/>
      <w:r>
        <w:rPr>
          <w:rFonts w:hint="default" w:ascii="仿宋" w:hAnsi="仿宋" w:eastAsia="仿宋" w:cs="仿宋"/>
          <w:bCs/>
          <w:sz w:val="24"/>
          <w:lang w:val="en-US" w:eastAsia="zh-CN"/>
        </w:rPr>
        <w:t>贾家洼西铝土矿初步设计依据的是2003年储量核实报告，设计可利用资源量只有343.89万吨，资源范围不含矿区西南空白区域。2024年12月河南鑫汇矿业有限公司编制了《贾家洼西铝土矿生产勘探报告》，矿区保有资源量增加为738.28万吨，资源范围包含了采矿证范围内所有资源量。</w:t>
      </w:r>
      <w:bookmarkEnd w:id="0"/>
    </w:p>
    <w:p w14:paraId="75B62E1D">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根据2022年3月河南省安全生产委员会办公室下发的《河南省加强非煤矿山重点县安全生产工作方案》要求：非煤矿山必须达到国家和地方最小开采规模标准，其中铝土矿地下矿山生产规模不小于30万吨/年。</w:t>
      </w:r>
      <w:bookmarkStart w:id="1" w:name="OLE_LINK1"/>
      <w:r>
        <w:rPr>
          <w:rFonts w:hint="default" w:ascii="仿宋" w:hAnsi="仿宋" w:eastAsia="仿宋" w:cs="仿宋"/>
          <w:bCs/>
          <w:sz w:val="24"/>
          <w:lang w:val="en-US" w:eastAsia="zh-CN"/>
        </w:rPr>
        <w:t>贾家洼西铝土矿</w:t>
      </w:r>
      <w:bookmarkEnd w:id="1"/>
      <w:r>
        <w:rPr>
          <w:rFonts w:hint="default" w:ascii="仿宋" w:hAnsi="仿宋" w:eastAsia="仿宋" w:cs="仿宋"/>
          <w:bCs/>
          <w:sz w:val="24"/>
          <w:lang w:val="en-US" w:eastAsia="zh-CN"/>
        </w:rPr>
        <w:t>目前生产规模为16.5万吨/年，不符合地方最小开采规模标准，贾家洼西铝土矿需进行改扩建来提升生产规模。</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2.4项目地点：河南省三门峡市渑池县</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5C4E58D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7965F181">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收集矿山以往地质资料，对该矿的矿产资源的可靠性进行分析，拟定矿山</w:t>
      </w:r>
      <w:r>
        <w:rPr>
          <w:rFonts w:hint="eastAsia" w:ascii="仿宋" w:hAnsi="仿宋" w:eastAsia="仿宋" w:cs="仿宋"/>
          <w:bCs/>
          <w:sz w:val="24"/>
          <w:lang w:val="en-US" w:eastAsia="zh-CN"/>
        </w:rPr>
        <w:t>改扩建</w:t>
      </w:r>
      <w:r>
        <w:rPr>
          <w:rFonts w:hint="default" w:ascii="仿宋" w:hAnsi="仿宋" w:eastAsia="仿宋" w:cs="仿宋"/>
          <w:bCs/>
          <w:sz w:val="24"/>
          <w:lang w:val="en-US" w:eastAsia="zh-CN"/>
        </w:rPr>
        <w:t>开采方案，并对矿山</w:t>
      </w:r>
      <w:r>
        <w:rPr>
          <w:rFonts w:hint="eastAsia" w:ascii="仿宋" w:hAnsi="仿宋" w:eastAsia="仿宋" w:cs="仿宋"/>
          <w:bCs/>
          <w:sz w:val="24"/>
          <w:lang w:val="en-US" w:eastAsia="zh-CN"/>
        </w:rPr>
        <w:t>改扩建的生产建设</w:t>
      </w:r>
      <w:r>
        <w:rPr>
          <w:rFonts w:hint="default" w:ascii="仿宋" w:hAnsi="仿宋" w:eastAsia="仿宋" w:cs="仿宋"/>
          <w:bCs/>
          <w:sz w:val="24"/>
          <w:lang w:val="en-US" w:eastAsia="zh-CN"/>
        </w:rPr>
        <w:t>进行全面分析，对矿山经济可行性进行论证，编制</w:t>
      </w:r>
      <w:r>
        <w:rPr>
          <w:rFonts w:hint="eastAsia" w:ascii="仿宋" w:hAnsi="仿宋" w:eastAsia="仿宋" w:cs="仿宋"/>
          <w:bCs/>
          <w:sz w:val="24"/>
          <w:lang w:val="en-US" w:eastAsia="zh-CN"/>
        </w:rPr>
        <w:t>中国铝业股份有限公司中州分公司贾家洼西铝土矿改扩建可行性研究报告</w:t>
      </w:r>
      <w:r>
        <w:rPr>
          <w:rFonts w:hint="default" w:ascii="仿宋" w:hAnsi="仿宋" w:eastAsia="仿宋" w:cs="仿宋"/>
          <w:bCs/>
          <w:sz w:val="24"/>
          <w:lang w:val="en-US" w:eastAsia="zh-CN"/>
        </w:rPr>
        <w:t>；主要完成内容包括矿山提升运输、通风系统、采矿工艺、供风供水、安全避险六大系统、供配电、排水系统、排土设施等全部生产系统。</w:t>
      </w:r>
    </w:p>
    <w:p w14:paraId="74CFFED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0EA75450">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2.5.2</w:t>
      </w:r>
      <w:r>
        <w:rPr>
          <w:rFonts w:hint="default" w:ascii="仿宋" w:hAnsi="仿宋" w:eastAsia="仿宋" w:cs="仿宋"/>
          <w:bCs/>
          <w:sz w:val="24"/>
          <w:lang w:val="en-US" w:eastAsia="zh-CN"/>
        </w:rPr>
        <w:t>.1</w:t>
      </w:r>
      <w:r>
        <w:rPr>
          <w:rFonts w:hint="eastAsia" w:ascii="仿宋" w:hAnsi="仿宋" w:eastAsia="仿宋" w:cs="仿宋"/>
          <w:bCs/>
          <w:sz w:val="24"/>
          <w:lang w:val="en-US" w:eastAsia="zh-CN"/>
        </w:rPr>
        <w:t>满足可行性研究报告编写相关要求；</w:t>
      </w:r>
    </w:p>
    <w:p w14:paraId="5EDFA55C">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2.5.2</w:t>
      </w:r>
      <w:r>
        <w:rPr>
          <w:rFonts w:hint="default" w:ascii="仿宋" w:hAnsi="仿宋" w:eastAsia="仿宋" w:cs="仿宋"/>
          <w:bCs/>
          <w:sz w:val="24"/>
          <w:lang w:val="en-US" w:eastAsia="zh-CN"/>
        </w:rPr>
        <w:t>.</w:t>
      </w:r>
      <w:r>
        <w:rPr>
          <w:rFonts w:hint="eastAsia" w:ascii="仿宋" w:hAnsi="仿宋" w:eastAsia="仿宋" w:cs="仿宋"/>
          <w:bCs/>
          <w:sz w:val="24"/>
          <w:lang w:val="en-US" w:eastAsia="zh-CN"/>
        </w:rPr>
        <w:t>2满足《中华人民共和国矿产资源法》、《中华人民共和国安全生产法》、《中华人民共和国矿山安全法》、《金属非金属矿山安全规程》、《爆破安全规程》等有关法律、法规、技术规范规程要求；</w:t>
      </w:r>
    </w:p>
    <w:p w14:paraId="6E555721">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2.5.2</w:t>
      </w:r>
      <w:r>
        <w:rPr>
          <w:rFonts w:hint="default" w:ascii="仿宋" w:hAnsi="仿宋" w:eastAsia="仿宋" w:cs="仿宋"/>
          <w:bCs/>
          <w:sz w:val="24"/>
          <w:lang w:val="en-US" w:eastAsia="zh-CN"/>
        </w:rPr>
        <w:t>.</w:t>
      </w:r>
      <w:r>
        <w:rPr>
          <w:rFonts w:hint="eastAsia" w:ascii="仿宋" w:hAnsi="仿宋" w:eastAsia="仿宋" w:cs="仿宋"/>
          <w:bCs/>
          <w:sz w:val="24"/>
          <w:lang w:val="en-US" w:eastAsia="zh-CN"/>
        </w:rPr>
        <w:t>3满足自然资源部门及应急管理部门相关要求；</w:t>
      </w:r>
    </w:p>
    <w:p w14:paraId="27DC2431">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2.5.2</w:t>
      </w:r>
      <w:r>
        <w:rPr>
          <w:rFonts w:hint="default" w:ascii="仿宋" w:hAnsi="仿宋" w:eastAsia="仿宋" w:cs="仿宋"/>
          <w:bCs/>
          <w:sz w:val="24"/>
          <w:lang w:val="en-US" w:eastAsia="zh-CN"/>
        </w:rPr>
        <w:t>.</w:t>
      </w:r>
      <w:r>
        <w:rPr>
          <w:rFonts w:hint="eastAsia" w:ascii="仿宋" w:hAnsi="仿宋" w:eastAsia="仿宋" w:cs="仿宋"/>
          <w:bCs/>
          <w:sz w:val="24"/>
          <w:lang w:val="en-US" w:eastAsia="zh-CN"/>
        </w:rPr>
        <w:t>4满足绿色矿山创建要求。</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2.8工期：</w:t>
      </w:r>
      <w:r>
        <w:rPr>
          <w:rFonts w:hint="default" w:ascii="仿宋" w:hAnsi="仿宋" w:eastAsia="仿宋" w:cs="仿宋"/>
          <w:bCs/>
          <w:sz w:val="24"/>
          <w:lang w:val="en-US" w:eastAsia="zh-CN"/>
        </w:rPr>
        <w:t>合同签订之日起</w:t>
      </w:r>
      <w:r>
        <w:rPr>
          <w:rFonts w:hint="eastAsia" w:ascii="仿宋" w:hAnsi="仿宋" w:eastAsia="仿宋" w:cs="仿宋"/>
          <w:bCs/>
          <w:sz w:val="24"/>
          <w:lang w:val="en-US" w:eastAsia="zh-CN"/>
        </w:rPr>
        <w:t>2</w:t>
      </w:r>
      <w:r>
        <w:rPr>
          <w:rFonts w:hint="default" w:ascii="仿宋" w:hAnsi="仿宋" w:eastAsia="仿宋" w:cs="仿宋"/>
          <w:bCs/>
          <w:sz w:val="24"/>
          <w:lang w:val="en-US" w:eastAsia="zh-CN"/>
        </w:rPr>
        <w:t>个月</w:t>
      </w:r>
      <w:r>
        <w:rPr>
          <w:rFonts w:hint="eastAsia" w:ascii="仿宋" w:hAnsi="仿宋" w:eastAsia="仿宋" w:cs="仿宋"/>
          <w:bCs/>
          <w:sz w:val="24"/>
          <w:lang w:val="en-US" w:eastAsia="zh-CN"/>
        </w:rPr>
        <w:t>。</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2F0121CE">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4.1中华人民共和国注册登记的</w:t>
      </w:r>
      <w:r>
        <w:rPr>
          <w:rFonts w:hint="eastAsia" w:ascii="仿宋" w:hAnsi="仿宋" w:eastAsia="仿宋" w:cs="仿宋"/>
          <w:bCs/>
          <w:sz w:val="24"/>
          <w:lang w:val="en-US" w:eastAsia="zh-CN"/>
        </w:rPr>
        <w:t>，持有合法有效的营业执照或事业单位法人证书；且为中铝集团内部单位；</w:t>
      </w:r>
    </w:p>
    <w:p w14:paraId="78C81CD0">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4.2具备履行合同的能力，包括资质状况，专业、技术资格和能力，资金、设备和其他设施状况，管理能力，经验、信誉和相应的从业人员；</w:t>
      </w:r>
    </w:p>
    <w:p w14:paraId="11425961">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4.3报价人没有处于被责令停业，报价资格没有被取消，财产没有被接管、冻结、破产状态；在最近三年内没有骗取中选和严重违约及重大质量问题；</w:t>
      </w:r>
    </w:p>
    <w:p w14:paraId="180C9A1C">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4.4在承接类似于本项目的相关业务中，没有出现报价人负主要责任的安全、技术、质量、商务等纠纷，没有产生严重后果，造成重大经济损失，不得在招报价数据库中存在不良记录；</w:t>
      </w:r>
    </w:p>
    <w:p w14:paraId="59BB15E5">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4.5近三年有承担编制金属矿山</w:t>
      </w:r>
      <w:r>
        <w:rPr>
          <w:rFonts w:hint="eastAsia" w:ascii="仿宋" w:hAnsi="仿宋" w:eastAsia="仿宋" w:cs="仿宋"/>
          <w:bCs/>
          <w:sz w:val="24"/>
          <w:lang w:val="en-US" w:eastAsia="zh-CN"/>
        </w:rPr>
        <w:t>可行性研究报告</w:t>
      </w:r>
      <w:r>
        <w:rPr>
          <w:rFonts w:hint="default" w:ascii="仿宋" w:hAnsi="仿宋" w:eastAsia="仿宋" w:cs="仿宋"/>
          <w:bCs/>
          <w:sz w:val="24"/>
          <w:lang w:val="en-US" w:eastAsia="zh-CN"/>
        </w:rPr>
        <w:t>并通过评审备案的业绩；</w:t>
      </w:r>
    </w:p>
    <w:p w14:paraId="6C167660">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w:t>
      </w:r>
      <w:r>
        <w:rPr>
          <w:rFonts w:hint="eastAsia" w:ascii="仿宋" w:hAnsi="仿宋" w:eastAsia="仿宋" w:cs="仿宋"/>
          <w:bCs/>
          <w:sz w:val="24"/>
          <w:lang w:val="en-US" w:eastAsia="zh-CN"/>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6DA6BB68">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w:t>
      </w:r>
      <w:r>
        <w:rPr>
          <w:rFonts w:hint="eastAsia" w:ascii="仿宋" w:hAnsi="仿宋" w:eastAsia="仿宋" w:cs="仿宋"/>
          <w:bCs/>
          <w:sz w:val="24"/>
          <w:lang w:val="en-US" w:eastAsia="zh-CN"/>
        </w:rPr>
        <w:t>7</w:t>
      </w:r>
      <w:r>
        <w:rPr>
          <w:rFonts w:hint="default" w:ascii="仿宋" w:hAnsi="仿宋" w:eastAsia="仿宋" w:cs="仿宋"/>
          <w:bCs/>
          <w:sz w:val="24"/>
          <w:lang w:val="en-US" w:eastAsia="zh-CN"/>
        </w:rPr>
        <w:t>具备法律、行政法规规定的其他资格条件。</w:t>
      </w:r>
    </w:p>
    <w:p w14:paraId="6869F68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4.8本项目不允许联合体报价。</w:t>
      </w:r>
    </w:p>
    <w:p w14:paraId="0A228843">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4.9报价人的安全能力能满足采购文件的要求，包括资质能力、管理能力、人员能力、绩效能力等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59D6DDDB">
      <w:pPr>
        <w:spacing w:line="440" w:lineRule="exact"/>
        <w:ind w:firstLine="480" w:firstLineChars="200"/>
        <w:rPr>
          <w:rFonts w:hint="default" w:ascii="仿宋" w:hAnsi="仿宋" w:eastAsia="仿宋" w:cs="仿宋"/>
          <w:bCs/>
          <w:sz w:val="24"/>
          <w:lang w:val="en-US" w:eastAsia="zh-CN"/>
        </w:rPr>
      </w:pPr>
      <w:bookmarkStart w:id="2" w:name="_Toc518044994"/>
      <w:bookmarkStart w:id="3" w:name="_Toc517804008"/>
      <w:bookmarkStart w:id="4" w:name="_Toc3201944"/>
      <w:bookmarkStart w:id="5" w:name="_Toc27489"/>
      <w:r>
        <w:rPr>
          <w:rFonts w:hint="eastAsia" w:ascii="仿宋" w:hAnsi="仿宋" w:eastAsia="仿宋" w:cs="仿宋"/>
          <w:bCs/>
          <w:sz w:val="24"/>
          <w:lang w:val="en-US" w:eastAsia="zh-CN"/>
        </w:rPr>
        <w:t>4.1本项目不收取采购文件费。</w:t>
      </w:r>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购买采购文件时间：自公告之日起至2025年10月10日16:30（北京时间）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2"/>
      <w:bookmarkEnd w:id="3"/>
      <w:bookmarkEnd w:id="4"/>
      <w:bookmarkEnd w:id="5"/>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6" w:name="_Toc3201945"/>
      <w:bookmarkStart w:id="7" w:name="_Toc518044995"/>
      <w:bookmarkStart w:id="8" w:name="_Toc9267"/>
      <w:bookmarkStart w:id="9" w:name="_Toc517804009"/>
      <w:r>
        <w:rPr>
          <w:rFonts w:hint="eastAsia" w:ascii="仿宋" w:hAnsi="仿宋" w:eastAsia="仿宋" w:cs="仿宋"/>
          <w:b/>
          <w:bCs w:val="0"/>
          <w:sz w:val="28"/>
          <w:szCs w:val="28"/>
          <w:lang w:val="en-US" w:eastAsia="zh-CN"/>
        </w:rPr>
        <w:t>6报价文件的递交</w:t>
      </w:r>
      <w:bookmarkEnd w:id="6"/>
      <w:bookmarkEnd w:id="7"/>
      <w:bookmarkEnd w:id="8"/>
      <w:bookmarkEnd w:id="9"/>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报价文件递交截止时间/报价时间：2025年10月11日14</w:t>
      </w:r>
      <w:bookmarkStart w:id="16" w:name="_GoBack"/>
      <w:bookmarkEnd w:id="16"/>
      <w:r>
        <w:rPr>
          <w:rFonts w:hint="eastAsia" w:ascii="仿宋" w:hAnsi="仿宋" w:eastAsia="仿宋" w:cs="仿宋"/>
          <w:bCs/>
          <w:sz w:val="24"/>
          <w:lang w:val="en-US" w:eastAsia="zh-CN"/>
        </w:rPr>
        <w:t>:00（北京时间）。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10" w:name="_Toc30303"/>
      <w:r>
        <w:rPr>
          <w:rFonts w:hint="eastAsia" w:ascii="仿宋" w:hAnsi="仿宋" w:eastAsia="仿宋" w:cs="仿宋"/>
          <w:b/>
          <w:bCs w:val="0"/>
          <w:sz w:val="28"/>
          <w:szCs w:val="28"/>
          <w:lang w:val="en-US" w:eastAsia="zh-CN"/>
        </w:rPr>
        <w:t>7发布公告的媒介</w:t>
      </w:r>
      <w:bookmarkEnd w:id="10"/>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11" w:name="_Toc3201947"/>
      <w:bookmarkStart w:id="12" w:name="_Toc22632"/>
      <w:bookmarkStart w:id="13" w:name="_Toc518044997"/>
      <w:bookmarkStart w:id="14" w:name="_Toc517804011"/>
      <w:r>
        <w:rPr>
          <w:rFonts w:hint="eastAsia" w:ascii="仿宋" w:hAnsi="仿宋" w:eastAsia="仿宋" w:cs="仿宋"/>
          <w:b/>
          <w:bCs w:val="0"/>
          <w:sz w:val="28"/>
          <w:szCs w:val="28"/>
          <w:lang w:val="en-US" w:eastAsia="zh-CN"/>
        </w:rPr>
        <w:t>8联系方式</w:t>
      </w:r>
      <w:bookmarkEnd w:id="11"/>
      <w:bookmarkEnd w:id="12"/>
      <w:bookmarkEnd w:id="13"/>
      <w:bookmarkEnd w:id="14"/>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5" w:name="_Toc32084"/>
      <w:r>
        <w:rPr>
          <w:rFonts w:hint="eastAsia" w:ascii="仿宋" w:hAnsi="仿宋" w:eastAsia="仿宋" w:cs="仿宋"/>
          <w:b/>
          <w:bCs w:val="0"/>
          <w:sz w:val="28"/>
          <w:szCs w:val="28"/>
          <w:lang w:val="en-US" w:eastAsia="zh-CN"/>
        </w:rPr>
        <w:t>9购买采购文件款请按如下地址汇款</w:t>
      </w:r>
      <w:bookmarkEnd w:id="15"/>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2F2C6">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B82AD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B82AD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30830BD"/>
    <w:rsid w:val="037D6B45"/>
    <w:rsid w:val="044E0E32"/>
    <w:rsid w:val="05880374"/>
    <w:rsid w:val="05C532C6"/>
    <w:rsid w:val="08164F8D"/>
    <w:rsid w:val="0AA27488"/>
    <w:rsid w:val="0B094A63"/>
    <w:rsid w:val="0B2F3A13"/>
    <w:rsid w:val="0C9475FE"/>
    <w:rsid w:val="0E1F739B"/>
    <w:rsid w:val="10D73F5D"/>
    <w:rsid w:val="11C10E95"/>
    <w:rsid w:val="12451511"/>
    <w:rsid w:val="12FB03D7"/>
    <w:rsid w:val="13F63820"/>
    <w:rsid w:val="142859FB"/>
    <w:rsid w:val="1464310E"/>
    <w:rsid w:val="163065E9"/>
    <w:rsid w:val="165B2217"/>
    <w:rsid w:val="16D43419"/>
    <w:rsid w:val="171B1048"/>
    <w:rsid w:val="17EC6540"/>
    <w:rsid w:val="190C7CE1"/>
    <w:rsid w:val="19D11E91"/>
    <w:rsid w:val="1B2D3AE4"/>
    <w:rsid w:val="20B53F66"/>
    <w:rsid w:val="20D0142F"/>
    <w:rsid w:val="21AF0D0A"/>
    <w:rsid w:val="23720241"/>
    <w:rsid w:val="24A563F4"/>
    <w:rsid w:val="24B13AD7"/>
    <w:rsid w:val="28A714A1"/>
    <w:rsid w:val="297840D8"/>
    <w:rsid w:val="2A3C3357"/>
    <w:rsid w:val="2C43774A"/>
    <w:rsid w:val="2D1D4C6D"/>
    <w:rsid w:val="2D67693D"/>
    <w:rsid w:val="2EDD7488"/>
    <w:rsid w:val="31B86A3F"/>
    <w:rsid w:val="31D8306E"/>
    <w:rsid w:val="32532DBB"/>
    <w:rsid w:val="339064C2"/>
    <w:rsid w:val="33BC290D"/>
    <w:rsid w:val="346902C6"/>
    <w:rsid w:val="34E40FCA"/>
    <w:rsid w:val="35102E7B"/>
    <w:rsid w:val="38F73281"/>
    <w:rsid w:val="3AE96BE3"/>
    <w:rsid w:val="3C3E6CFB"/>
    <w:rsid w:val="3E0E49C6"/>
    <w:rsid w:val="3FC30CA2"/>
    <w:rsid w:val="3FE43E1D"/>
    <w:rsid w:val="401A783F"/>
    <w:rsid w:val="411C2913"/>
    <w:rsid w:val="43E02B4D"/>
    <w:rsid w:val="44590819"/>
    <w:rsid w:val="446724B7"/>
    <w:rsid w:val="44694A59"/>
    <w:rsid w:val="45C368D4"/>
    <w:rsid w:val="464E0242"/>
    <w:rsid w:val="46CE4098"/>
    <w:rsid w:val="490F1FF3"/>
    <w:rsid w:val="49695393"/>
    <w:rsid w:val="4B4843E2"/>
    <w:rsid w:val="4C27758A"/>
    <w:rsid w:val="4CFD651E"/>
    <w:rsid w:val="4EDB288F"/>
    <w:rsid w:val="51735001"/>
    <w:rsid w:val="523C1897"/>
    <w:rsid w:val="550A42E0"/>
    <w:rsid w:val="56140091"/>
    <w:rsid w:val="571748E3"/>
    <w:rsid w:val="581D594B"/>
    <w:rsid w:val="59395101"/>
    <w:rsid w:val="5AFD146D"/>
    <w:rsid w:val="5B5434A8"/>
    <w:rsid w:val="5C0F4FE4"/>
    <w:rsid w:val="5E863CA9"/>
    <w:rsid w:val="5EC155FD"/>
    <w:rsid w:val="5F7F56ED"/>
    <w:rsid w:val="603248F4"/>
    <w:rsid w:val="62272952"/>
    <w:rsid w:val="633F4C95"/>
    <w:rsid w:val="64D50E4D"/>
    <w:rsid w:val="652D5C58"/>
    <w:rsid w:val="65D0673C"/>
    <w:rsid w:val="662D3262"/>
    <w:rsid w:val="66CD3A0C"/>
    <w:rsid w:val="68103152"/>
    <w:rsid w:val="69856C60"/>
    <w:rsid w:val="6A627023"/>
    <w:rsid w:val="6BAD0EBB"/>
    <w:rsid w:val="6C4D6722"/>
    <w:rsid w:val="6D8242FF"/>
    <w:rsid w:val="6EA07640"/>
    <w:rsid w:val="6EC711C7"/>
    <w:rsid w:val="6EFB29F9"/>
    <w:rsid w:val="6F273B31"/>
    <w:rsid w:val="707814EF"/>
    <w:rsid w:val="709B2E6E"/>
    <w:rsid w:val="70AD26B9"/>
    <w:rsid w:val="71ED7056"/>
    <w:rsid w:val="732C01D1"/>
    <w:rsid w:val="73DD17AE"/>
    <w:rsid w:val="74624D35"/>
    <w:rsid w:val="75181898"/>
    <w:rsid w:val="77720653"/>
    <w:rsid w:val="77E572A5"/>
    <w:rsid w:val="77F55EC0"/>
    <w:rsid w:val="780D4FB8"/>
    <w:rsid w:val="79246A5D"/>
    <w:rsid w:val="7A22256E"/>
    <w:rsid w:val="7A2A7DCB"/>
    <w:rsid w:val="7B564EC8"/>
    <w:rsid w:val="7B747B10"/>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3">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line="360" w:lineRule="auto"/>
      <w:ind w:firstLine="200" w:firstLineChars="200"/>
    </w:pPr>
    <w:rPr>
      <w:rFonts w:ascii="宋体" w:hAnsi="宋体"/>
      <w:sz w:val="24"/>
      <w:szCs w:val="20"/>
    </w:rPr>
  </w:style>
  <w:style w:type="paragraph" w:styleId="5">
    <w:name w:val="annotation text"/>
    <w:basedOn w:val="1"/>
    <w:autoRedefine/>
    <w:qFormat/>
    <w:uiPriority w:val="0"/>
    <w:pPr>
      <w:jc w:val="left"/>
    </w:pPr>
    <w:rPr>
      <w:rFonts w:ascii="Calibri" w:hAnsi="Calibri" w:eastAsia="宋体" w:cs="Times New Roman"/>
    </w:rPr>
  </w:style>
  <w:style w:type="paragraph" w:styleId="6">
    <w:name w:val="Body Text"/>
    <w:basedOn w:val="1"/>
    <w:next w:val="1"/>
    <w:autoRedefine/>
    <w:qFormat/>
    <w:uiPriority w:val="0"/>
    <w:pPr>
      <w:spacing w:after="120"/>
    </w:pPr>
  </w:style>
  <w:style w:type="paragraph" w:styleId="7">
    <w:name w:val="Body Text Indent"/>
    <w:basedOn w:val="1"/>
    <w:next w:val="4"/>
    <w:autoRedefine/>
    <w:qFormat/>
    <w:uiPriority w:val="0"/>
    <w:pPr>
      <w:widowControl/>
      <w:spacing w:after="120" w:afterAutospacing="0"/>
      <w:ind w:left="420" w:leftChars="200"/>
      <w:jc w:val="left"/>
    </w:pPr>
    <w:rPr>
      <w:kern w:val="0"/>
      <w:sz w:val="20"/>
      <w:szCs w:val="20"/>
      <w:lang w:val="en-GB" w:eastAsia="en-US"/>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Body Text 2"/>
    <w:basedOn w:val="1"/>
    <w:next w:val="6"/>
    <w:qFormat/>
    <w:uiPriority w:val="0"/>
    <w:pPr>
      <w:spacing w:after="120" w:line="480" w:lineRule="auto"/>
    </w:pPr>
  </w:style>
  <w:style w:type="paragraph" w:styleId="10">
    <w:name w:val="Body Text First Indent"/>
    <w:basedOn w:val="6"/>
    <w:next w:val="1"/>
    <w:autoRedefine/>
    <w:qFormat/>
    <w:uiPriority w:val="0"/>
    <w:pPr>
      <w:widowControl w:val="0"/>
      <w:spacing w:after="120"/>
      <w:ind w:firstLine="420" w:firstLineChars="100"/>
      <w:jc w:val="both"/>
    </w:pPr>
    <w:rPr>
      <w:kern w:val="2"/>
      <w:sz w:val="21"/>
      <w:szCs w:val="24"/>
      <w:lang w:val="en-US" w:eastAsia="zh-CN" w:bidi="ar-SA"/>
    </w:rPr>
  </w:style>
  <w:style w:type="paragraph" w:styleId="11">
    <w:name w:val="Body Text First Indent 2"/>
    <w:basedOn w:val="7"/>
    <w:autoRedefine/>
    <w:unhideWhenUsed/>
    <w:qFormat/>
    <w:uiPriority w:val="99"/>
    <w:pPr>
      <w:spacing w:before="100" w:beforeAutospacing="1"/>
      <w:ind w:left="200" w:firstLine="420"/>
    </w:pPr>
  </w:style>
  <w:style w:type="character" w:customStyle="1" w:styleId="14">
    <w:name w:val="font12"/>
    <w:basedOn w:val="13"/>
    <w:autoRedefine/>
    <w:qFormat/>
    <w:uiPriority w:val="0"/>
    <w:rPr>
      <w:rFonts w:hint="eastAsia" w:ascii="仿宋" w:hAnsi="仿宋" w:eastAsia="仿宋" w:cs="仿宋"/>
      <w:b/>
      <w:bCs/>
      <w:color w:val="000000"/>
      <w:sz w:val="24"/>
      <w:szCs w:val="24"/>
      <w:u w:val="none"/>
    </w:rPr>
  </w:style>
  <w:style w:type="character" w:customStyle="1" w:styleId="15">
    <w:name w:val="font111"/>
    <w:basedOn w:val="13"/>
    <w:autoRedefine/>
    <w:qFormat/>
    <w:uiPriority w:val="0"/>
    <w:rPr>
      <w:rFonts w:hint="eastAsia" w:ascii="宋体" w:hAnsi="宋体" w:eastAsia="宋体" w:cs="宋体"/>
      <w:color w:val="000000"/>
      <w:sz w:val="22"/>
      <w:szCs w:val="22"/>
      <w:u w:val="none"/>
    </w:rPr>
  </w:style>
  <w:style w:type="character" w:customStyle="1" w:styleId="16">
    <w:name w:val="font122"/>
    <w:basedOn w:val="13"/>
    <w:autoRedefine/>
    <w:qFormat/>
    <w:uiPriority w:val="0"/>
    <w:rPr>
      <w:rFonts w:hint="eastAsia" w:ascii="仿宋" w:hAnsi="仿宋" w:eastAsia="仿宋" w:cs="仿宋"/>
      <w:color w:val="000000"/>
      <w:sz w:val="24"/>
      <w:szCs w:val="24"/>
      <w:u w:val="none"/>
    </w:rPr>
  </w:style>
  <w:style w:type="character" w:customStyle="1" w:styleId="17">
    <w:name w:val="font221"/>
    <w:basedOn w:val="13"/>
    <w:autoRedefine/>
    <w:qFormat/>
    <w:uiPriority w:val="0"/>
    <w:rPr>
      <w:rFonts w:hint="eastAsia" w:ascii="仿宋" w:hAnsi="仿宋" w:eastAsia="仿宋" w:cs="仿宋"/>
      <w:color w:val="000000"/>
      <w:sz w:val="20"/>
      <w:szCs w:val="20"/>
      <w:u w:val="none"/>
      <w:vertAlign w:val="subscript"/>
    </w:rPr>
  </w:style>
  <w:style w:type="paragraph" w:customStyle="1" w:styleId="18">
    <w:name w:val="列出段落1"/>
    <w:basedOn w:val="1"/>
    <w:qFormat/>
    <w:uiPriority w:val="0"/>
    <w:pPr>
      <w:ind w:firstLine="420" w:firstLineChars="200"/>
    </w:pPr>
    <w:rPr>
      <w:rFonts w:ascii="Times New Roman" w:hAnsi="Times New Roman" w:eastAsia="宋体" w:cs="Times New Roman"/>
    </w:rPr>
  </w:style>
  <w:style w:type="character" w:customStyle="1" w:styleId="19">
    <w:name w:val="font81"/>
    <w:basedOn w:val="13"/>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2284</Words>
  <Characters>2904</Characters>
  <Lines>0</Lines>
  <Paragraphs>0</Paragraphs>
  <TotalTime>3</TotalTime>
  <ScaleCrop>false</ScaleCrop>
  <LinksUpToDate>false</LinksUpToDate>
  <CharactersWithSpaces>2922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dcterms:modified xsi:type="dcterms:W3CDTF">2025-09-28T02:44:28Z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