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段村-雷沟矿区2026年渣石运输项目第二次</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CG-ZZ-202511-SCGK-KSK-005</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jc w:val="both"/>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段村-雷沟矿区2026年渣石运输项目已具备采购条件，资金自筹且已落实。采购人为：中铝中州铝业有限公司生</w:t>
      </w:r>
      <w:bookmarkStart w:id="16" w:name="_GoBack"/>
      <w:bookmarkEnd w:id="16"/>
      <w:r>
        <w:rPr>
          <w:rFonts w:hint="eastAsia" w:ascii="仿宋" w:hAnsi="仿宋" w:eastAsia="仿宋" w:cs="仿宋"/>
          <w:bCs/>
          <w:sz w:val="24"/>
          <w:lang w:val="en-US" w:eastAsia="zh-CN"/>
        </w:rPr>
        <w:t>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2.1项目名称：段村-雷沟矿区2026年渣石运输项目</w:t>
      </w:r>
    </w:p>
    <w:p w14:paraId="13E3B479">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2.2项目类型：渣石运输</w:t>
      </w:r>
    </w:p>
    <w:p w14:paraId="0DC144FE">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w:t>
      </w:r>
      <w:r>
        <w:rPr>
          <w:rFonts w:hint="eastAsia" w:ascii="仿宋_GB2312" w:hAnsi="Times New Roman" w:eastAsia="仿宋_GB2312" w:cs="Times New Roman"/>
          <w:bCs/>
          <w:color w:val="auto"/>
          <w:sz w:val="24"/>
          <w:highlight w:val="none"/>
          <w:lang w:val="en-US" w:eastAsia="zh-CN"/>
        </w:rPr>
        <w:t>根据</w:t>
      </w:r>
      <w:r>
        <w:rPr>
          <w:rFonts w:hint="eastAsia" w:ascii="仿宋_GB2312" w:eastAsia="仿宋_GB2312" w:cs="Times New Roman"/>
          <w:bCs/>
          <w:color w:val="auto"/>
          <w:sz w:val="24"/>
          <w:highlight w:val="none"/>
          <w:lang w:val="en-US" w:eastAsia="zh-CN"/>
        </w:rPr>
        <w:t>段村-雷沟矿区2026年生产需要，井巷及采矿工程所产生的渣石约为9万方</w:t>
      </w:r>
      <w:r>
        <w:rPr>
          <w:rFonts w:hint="eastAsia" w:ascii="仿宋_GB2312" w:hAnsi="Times New Roman" w:eastAsia="仿宋_GB2312" w:cs="Times New Roman"/>
          <w:bCs/>
          <w:color w:val="auto"/>
          <w:sz w:val="24"/>
          <w:highlight w:val="none"/>
          <w:lang w:val="en-US" w:eastAsia="zh-CN"/>
        </w:rPr>
        <w:t>，现需委托外部运输单位进行运输</w:t>
      </w:r>
      <w:r>
        <w:rPr>
          <w:rFonts w:hint="eastAsia" w:ascii="仿宋" w:hAnsi="仿宋" w:eastAsia="仿宋" w:cs="仿宋"/>
          <w:bCs/>
          <w:sz w:val="24"/>
          <w:lang w:val="en-US" w:eastAsia="zh-CN"/>
        </w:rPr>
        <w:t>。</w:t>
      </w:r>
    </w:p>
    <w:p w14:paraId="48625FA6">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w:t>
      </w:r>
      <w:r>
        <w:rPr>
          <w:rFonts w:hint="eastAsia" w:ascii="仿宋_GB2312" w:eastAsia="仿宋_GB2312" w:cs="Times New Roman"/>
          <w:bCs/>
          <w:color w:val="auto"/>
          <w:sz w:val="24"/>
          <w:highlight w:val="none"/>
          <w:lang w:val="en-US" w:eastAsia="zh-CN"/>
        </w:rPr>
        <w:t>渑池</w:t>
      </w:r>
      <w:r>
        <w:rPr>
          <w:rFonts w:hint="eastAsia" w:ascii="仿宋_GB2312" w:hAnsi="Times New Roman" w:eastAsia="仿宋_GB2312" w:cs="Times New Roman"/>
          <w:bCs/>
          <w:color w:val="auto"/>
          <w:sz w:val="24"/>
          <w:highlight w:val="none"/>
          <w:lang w:val="en-US" w:eastAsia="zh-CN"/>
        </w:rPr>
        <w:t>县</w:t>
      </w:r>
      <w:r>
        <w:rPr>
          <w:rFonts w:hint="eastAsia" w:ascii="仿宋_GB2312" w:eastAsia="仿宋_GB2312" w:cs="Times New Roman"/>
          <w:bCs/>
          <w:color w:val="auto"/>
          <w:sz w:val="24"/>
          <w:highlight w:val="none"/>
          <w:lang w:val="en-US" w:eastAsia="zh-CN"/>
        </w:rPr>
        <w:t>仁村乡、洪阳</w:t>
      </w:r>
      <w:r>
        <w:rPr>
          <w:rFonts w:hint="eastAsia" w:ascii="仿宋_GB2312" w:hAnsi="Times New Roman" w:eastAsia="仿宋_GB2312" w:cs="Times New Roman"/>
          <w:bCs/>
          <w:color w:val="auto"/>
          <w:sz w:val="24"/>
          <w:highlight w:val="none"/>
          <w:lang w:val="en-US" w:eastAsia="zh-CN"/>
        </w:rPr>
        <w:t>镇</w:t>
      </w:r>
    </w:p>
    <w:p w14:paraId="38AC342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18B8246A">
      <w:pPr>
        <w:spacing w:line="460" w:lineRule="exact"/>
        <w:ind w:firstLine="480" w:firstLineChars="200"/>
        <w:rPr>
          <w:rFonts w:hint="default"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2.5.1.1渑池县仁</w:t>
      </w:r>
      <w:r>
        <w:rPr>
          <w:rFonts w:hint="eastAsia" w:ascii="仿宋_GB2312" w:hAnsi="Times New Roman" w:eastAsia="仿宋_GB2312" w:cs="Times New Roman"/>
          <w:bCs/>
          <w:color w:val="auto"/>
          <w:sz w:val="24"/>
          <w:highlight w:val="none"/>
          <w:lang w:val="en-US" w:eastAsia="zh-CN"/>
        </w:rPr>
        <w:t>村乡、洪阳镇中铝中州矿业有限公司段村-雷沟矿区</w:t>
      </w:r>
      <w:r>
        <w:rPr>
          <w:rFonts w:hint="eastAsia" w:ascii="仿宋_GB2312" w:eastAsia="仿宋_GB2312" w:cs="Times New Roman"/>
          <w:bCs/>
          <w:color w:val="auto"/>
          <w:sz w:val="24"/>
          <w:highlight w:val="none"/>
          <w:lang w:val="en-US" w:eastAsia="zh-CN"/>
        </w:rPr>
        <w:t>各堆场</w:t>
      </w:r>
      <w:r>
        <w:rPr>
          <w:rFonts w:hint="eastAsia" w:ascii="仿宋_GB2312" w:hAnsi="Times New Roman" w:eastAsia="仿宋_GB2312" w:cs="Times New Roman"/>
          <w:bCs/>
          <w:color w:val="auto"/>
          <w:sz w:val="24"/>
          <w:highlight w:val="none"/>
          <w:lang w:val="en-US" w:eastAsia="zh-CN"/>
        </w:rPr>
        <w:t>至段村2#罐笼井西侧</w:t>
      </w:r>
      <w:bookmarkStart w:id="0" w:name="OLE_LINK2"/>
      <w:r>
        <w:rPr>
          <w:rFonts w:hint="eastAsia" w:ascii="仿宋_GB2312" w:hAnsi="Times New Roman" w:eastAsia="仿宋_GB2312" w:cs="Times New Roman"/>
          <w:bCs/>
          <w:color w:val="auto"/>
          <w:sz w:val="24"/>
          <w:highlight w:val="none"/>
          <w:lang w:val="en-US" w:eastAsia="zh-CN"/>
        </w:rPr>
        <w:t>歇柴沟露天治理坑</w:t>
      </w:r>
      <w:bookmarkEnd w:id="0"/>
      <w:r>
        <w:rPr>
          <w:rFonts w:hint="eastAsia" w:ascii="仿宋_GB2312" w:hAnsi="Times New Roman" w:eastAsia="仿宋_GB2312" w:cs="Times New Roman"/>
          <w:bCs/>
          <w:color w:val="auto"/>
          <w:sz w:val="24"/>
          <w:highlight w:val="none"/>
          <w:lang w:val="en-US" w:eastAsia="zh-CN"/>
        </w:rPr>
        <w:t>的渣石运输，当甲方书面通知歇柴沟露天治理坑不能进行排放时，排渣地点需运输方自行协调，不得造成环境及社会影响。</w:t>
      </w:r>
      <w:r>
        <w:rPr>
          <w:rFonts w:hint="eastAsia" w:ascii="仿宋_GB2312" w:hAnsi="Times New Roman" w:eastAsia="仿宋_GB2312" w:cs="Times New Roman"/>
          <w:bCs/>
          <w:color w:val="auto"/>
          <w:sz w:val="24"/>
          <w:highlight w:val="yellow"/>
          <w:lang w:val="en-US" w:eastAsia="zh-CN"/>
        </w:rPr>
        <w:t>自选排渣地点和排渣方案为此次项目采购必要条件</w:t>
      </w:r>
      <w:r>
        <w:rPr>
          <w:rFonts w:hint="eastAsia" w:ascii="仿宋_GB2312" w:eastAsia="仿宋_GB2312" w:cs="Times New Roman"/>
          <w:bCs/>
          <w:color w:val="auto"/>
          <w:sz w:val="24"/>
          <w:highlight w:val="yellow"/>
          <w:lang w:val="en-US" w:eastAsia="zh-CN"/>
        </w:rPr>
        <w:t>(需提供证明材料)</w:t>
      </w:r>
      <w:r>
        <w:rPr>
          <w:rFonts w:hint="eastAsia" w:ascii="仿宋_GB2312" w:hAnsi="Times New Roman" w:eastAsia="仿宋_GB2312" w:cs="Times New Roman"/>
          <w:bCs/>
          <w:color w:val="auto"/>
          <w:sz w:val="24"/>
          <w:highlight w:val="none"/>
          <w:lang w:val="en-US" w:eastAsia="zh-CN"/>
        </w:rPr>
        <w:t>。预估运</w:t>
      </w:r>
      <w:r>
        <w:rPr>
          <w:rFonts w:hint="eastAsia" w:ascii="仿宋_GB2312" w:eastAsia="仿宋_GB2312"/>
          <w:bCs/>
          <w:color w:val="auto"/>
          <w:sz w:val="24"/>
          <w:highlight w:val="none"/>
          <w:lang w:val="en-US" w:eastAsia="zh-CN"/>
        </w:rPr>
        <w:t>量9万方</w:t>
      </w:r>
      <w:r>
        <w:rPr>
          <w:rFonts w:hint="eastAsia" w:ascii="仿宋_GB2312" w:hAnsi="Times New Roman" w:eastAsia="仿宋_GB2312" w:cs="Times New Roman"/>
          <w:bCs/>
          <w:color w:val="auto"/>
          <w:sz w:val="24"/>
          <w:highlight w:val="none"/>
          <w:lang w:val="en-US" w:eastAsia="zh-CN"/>
        </w:rPr>
        <w:t>，实际发运数量以我公司正式通知为准；中选人在合同履行期内应按我公司实际通知量组织运输。</w:t>
      </w:r>
    </w:p>
    <w:p w14:paraId="20BA6A9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27BBECA3">
      <w:pPr>
        <w:spacing w:line="4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2.5.2.1按</w:t>
      </w:r>
      <w:bookmarkStart w:id="1" w:name="OLE_LINK1"/>
      <w:r>
        <w:rPr>
          <w:rFonts w:hint="eastAsia" w:ascii="仿宋_GB2312" w:hAnsi="Times New Roman" w:eastAsia="仿宋_GB2312" w:cs="Times New Roman"/>
          <w:bCs/>
          <w:color w:val="auto"/>
          <w:sz w:val="24"/>
          <w:highlight w:val="none"/>
          <w:lang w:val="en-US" w:eastAsia="zh-CN"/>
        </w:rPr>
        <w:t>中铝中州矿业有限公司</w:t>
      </w:r>
      <w:bookmarkEnd w:id="1"/>
      <w:r>
        <w:rPr>
          <w:rFonts w:hint="eastAsia" w:ascii="仿宋_GB2312" w:eastAsia="仿宋_GB2312" w:cs="Times New Roman"/>
          <w:bCs/>
          <w:color w:val="auto"/>
          <w:sz w:val="24"/>
          <w:highlight w:val="none"/>
          <w:lang w:val="en-US" w:eastAsia="zh-CN"/>
        </w:rPr>
        <w:t>三门峡分公司</w:t>
      </w:r>
      <w:r>
        <w:rPr>
          <w:rFonts w:hint="eastAsia" w:ascii="仿宋_GB2312" w:hAnsi="Times New Roman" w:eastAsia="仿宋_GB2312" w:cs="Times New Roman"/>
          <w:bCs/>
          <w:color w:val="auto"/>
          <w:sz w:val="24"/>
          <w:highlight w:val="none"/>
          <w:lang w:val="en-US" w:eastAsia="zh-CN"/>
        </w:rPr>
        <w:t>运输计划及要求的日运量在规定时间内完成指定起止点的产品运输。如因承运商原因造成的货物灭失、短少等损失，由承运商承担全部赔偿责任，如因此产生诉讼纠纷，我公司所产生的诉讼费、保全费、保全担保费、律师费等相关费用皆由承运商承担。</w:t>
      </w:r>
    </w:p>
    <w:p w14:paraId="3A993E78">
      <w:pPr>
        <w:spacing w:line="4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2.5.2.2若中选运输商运输能力不能满足我公司要求运输能力，我公司有权选择其他运输商进行运输，并对中选运输商不构成违约。同时除法律规定的不可抗力和我公司原因外造成延误或延时交货，给我公司及我公司客户造成的损失由承运商承担，我公司可以在承运商运费或履约保证金中扣除。</w:t>
      </w:r>
    </w:p>
    <w:p w14:paraId="1A6CA655">
      <w:pPr>
        <w:spacing w:line="4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2.5.2.3在运输过程中，因交通事故等原因给我公司及用户造成的损失，由承运商承担，可以从承运商履约保证金及运费中扣除，或根据具体情况采取其他方式弥补相关损失；损失特别严重的，双方协商解决，无法达成一致时，我公司将通过法律程序解决。如果发现存在掺假、卸货倒卖现象，造成的损失由承运商承担并另扣罚承运商5万元，禁止该承运商再参与我公司运输业务。情节严重的，还将依法追究承运商相关法律责任。</w:t>
      </w:r>
    </w:p>
    <w:p w14:paraId="29948B8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006878FE">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w:t>
      </w:r>
      <w:r>
        <w:rPr>
          <w:rFonts w:hint="eastAsia" w:ascii="仿宋_GB2312" w:eastAsia="仿宋_GB2312" w:cs="Times New Roman"/>
          <w:bCs/>
          <w:color w:val="auto"/>
          <w:sz w:val="24"/>
          <w:highlight w:val="none"/>
          <w:lang w:val="en-US" w:eastAsia="zh-CN"/>
        </w:rPr>
        <w:t>2026年1月1日</w:t>
      </w:r>
      <w:r>
        <w:rPr>
          <w:rFonts w:hint="eastAsia" w:ascii="仿宋_GB2312" w:hAnsi="Times New Roman" w:eastAsia="仿宋_GB2312" w:cs="Times New Roman"/>
          <w:bCs/>
          <w:color w:val="auto"/>
          <w:sz w:val="24"/>
          <w:highlight w:val="none"/>
          <w:lang w:val="en-US" w:eastAsia="zh-CN"/>
        </w:rPr>
        <w:t>起至202</w:t>
      </w:r>
      <w:r>
        <w:rPr>
          <w:rFonts w:hint="eastAsia" w:ascii="仿宋_GB2312" w:eastAsia="仿宋_GB2312" w:cs="Times New Roman"/>
          <w:bCs/>
          <w:color w:val="auto"/>
          <w:sz w:val="24"/>
          <w:highlight w:val="none"/>
          <w:lang w:val="en-US" w:eastAsia="zh-CN"/>
        </w:rPr>
        <w:t>6</w:t>
      </w:r>
      <w:r>
        <w:rPr>
          <w:rFonts w:hint="eastAsia" w:ascii="仿宋_GB2312" w:hAnsi="Times New Roman" w:eastAsia="仿宋_GB2312" w:cs="Times New Roman"/>
          <w:bCs/>
          <w:color w:val="auto"/>
          <w:sz w:val="24"/>
          <w:highlight w:val="none"/>
          <w:lang w:val="en-US" w:eastAsia="zh-CN"/>
        </w:rPr>
        <w:t>年12月</w:t>
      </w:r>
      <w:r>
        <w:rPr>
          <w:rFonts w:hint="eastAsia" w:ascii="仿宋_GB2312" w:eastAsia="仿宋_GB2312" w:cs="Times New Roman"/>
          <w:bCs/>
          <w:color w:val="auto"/>
          <w:sz w:val="24"/>
          <w:highlight w:val="none"/>
          <w:lang w:val="en-US" w:eastAsia="zh-CN"/>
        </w:rPr>
        <w:t>31</w:t>
      </w:r>
      <w:r>
        <w:rPr>
          <w:rFonts w:hint="eastAsia" w:ascii="仿宋_GB2312" w:hAnsi="Times New Roman" w:eastAsia="仿宋_GB2312" w:cs="Times New Roman"/>
          <w:bCs/>
          <w:color w:val="auto"/>
          <w:sz w:val="24"/>
          <w:highlight w:val="none"/>
          <w:lang w:val="en-US" w:eastAsia="zh-CN"/>
        </w:rPr>
        <w:t>日</w:t>
      </w:r>
      <w:r>
        <w:rPr>
          <w:rFonts w:hint="eastAsia" w:ascii="仿宋" w:hAnsi="仿宋" w:eastAsia="仿宋" w:cs="仿宋"/>
          <w:bCs/>
          <w:sz w:val="24"/>
          <w:lang w:val="en-US" w:eastAsia="zh-CN"/>
        </w:rPr>
        <w:t>。</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226952AA">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3.1  中华人民共和国境内注册的，持有合法有效的营业执照或事业单位法人证书；</w:t>
      </w:r>
    </w:p>
    <w:p w14:paraId="54C52535">
      <w:pPr>
        <w:adjustRightInd w:val="0"/>
        <w:spacing w:line="460" w:lineRule="exact"/>
        <w:ind w:firstLine="480" w:firstLineChars="200"/>
        <w:rPr>
          <w:rFonts w:hint="default"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  具有</w:t>
      </w:r>
      <w:r>
        <w:rPr>
          <w:rFonts w:hint="eastAsia" w:ascii="仿宋_GB2312" w:eastAsia="仿宋_GB2312" w:cs="Times New Roman"/>
          <w:bCs/>
          <w:sz w:val="24"/>
          <w:highlight w:val="none"/>
          <w:lang w:eastAsia="zh-CN"/>
        </w:rPr>
        <w:t>道路运输经营许可证，</w:t>
      </w:r>
      <w:r>
        <w:rPr>
          <w:rFonts w:hint="eastAsia" w:ascii="仿宋_GB2312" w:hAnsi="Calibri" w:eastAsia="仿宋_GB2312" w:cs="Times New Roman"/>
          <w:bCs/>
          <w:color w:val="auto"/>
          <w:kern w:val="2"/>
          <w:sz w:val="24"/>
          <w:szCs w:val="24"/>
          <w:highlight w:val="none"/>
          <w:lang w:val="en-US" w:eastAsia="zh-CN" w:bidi="ar-SA"/>
        </w:rPr>
        <w:t xml:space="preserve"> 营业执照企业注册资本在500万元及以上；</w:t>
      </w:r>
    </w:p>
    <w:p w14:paraId="3BBA7773">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  具备履行合同的能力，包括资质状况，专业、技术资格和能力，资金、设备和其他设施状况，管理能力，经验、信誉和相应的从业人员；</w:t>
      </w:r>
    </w:p>
    <w:p w14:paraId="32C579AD">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3.4  报价人没有处于被责令停业，报价资格没有被取消，财产没有被接管、冻结、破产状态；在最近三年内没有骗取中选和严重违约及重大质量问题；</w:t>
      </w:r>
    </w:p>
    <w:p w14:paraId="2A218D11">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3.5  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72553B95">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3.6  具备法律、行政法规规定的其他资格条件；</w:t>
      </w:r>
    </w:p>
    <w:p w14:paraId="4C10CBF5">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3.7  本项目不允许联合体报价。</w:t>
      </w:r>
    </w:p>
    <w:p w14:paraId="3EA72BC7">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3.8  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5983BBB3">
      <w:pPr>
        <w:snapToGrid w:val="0"/>
        <w:spacing w:line="400" w:lineRule="exact"/>
        <w:ind w:firstLine="480" w:firstLineChars="200"/>
        <w:textAlignment w:val="baseline"/>
        <w:rPr>
          <w:rFonts w:hint="eastAsia" w:ascii="仿宋" w:hAnsi="仿宋" w:eastAsia="仿宋" w:cs="仿宋"/>
          <w:bCs/>
          <w:sz w:val="24"/>
          <w:lang w:val="en-US" w:eastAsia="zh-CN"/>
        </w:rPr>
      </w:pPr>
      <w:bookmarkStart w:id="2" w:name="_Toc517804008"/>
      <w:bookmarkStart w:id="3" w:name="_Toc3201944"/>
      <w:bookmarkStart w:id="4" w:name="_Toc518044994"/>
      <w:bookmarkStart w:id="5" w:name="_Toc27489"/>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14:paraId="0C8F40D0">
      <w:pPr>
        <w:pStyle w:val="2"/>
        <w:rPr>
          <w:rFonts w:hint="eastAsia"/>
          <w:lang w:val="en-US" w:eastAsia="zh-CN"/>
        </w:rPr>
      </w:pPr>
      <w:r>
        <w:rPr>
          <w:rFonts w:hint="eastAsia" w:ascii="仿宋_GB2312" w:hAnsi="Times New Roman" w:eastAsia="仿宋_GB2312" w:cs="Times New Roman"/>
          <w:bCs/>
          <w:color w:val="FF0000"/>
          <w:sz w:val="24"/>
          <w:highlight w:val="none"/>
        </w:rPr>
        <w:t>报价</w:t>
      </w:r>
      <w:r>
        <w:rPr>
          <w:rFonts w:hint="eastAsia" w:ascii="仿宋_GB2312" w:hAnsi="Times New Roman" w:eastAsia="仿宋_GB2312" w:cs="Times New Roman"/>
          <w:bCs/>
          <w:color w:val="FF0000"/>
          <w:sz w:val="24"/>
          <w:highlight w:val="none"/>
          <w:lang w:val="en-US" w:eastAsia="zh-CN"/>
        </w:rPr>
        <w:t>单位需在现场报价前向采购人</w:t>
      </w:r>
      <w:r>
        <w:rPr>
          <w:rFonts w:hint="eastAsia" w:ascii="仿宋_GB2312" w:hAnsi="Times New Roman" w:eastAsia="仿宋_GB2312" w:cs="Times New Roman"/>
          <w:bCs/>
          <w:color w:val="FF0000"/>
          <w:sz w:val="24"/>
          <w:highlight w:val="none"/>
        </w:rPr>
        <w:t>缴纳报价保证金</w:t>
      </w:r>
      <w:r>
        <w:rPr>
          <w:rFonts w:hint="eastAsia" w:ascii="仿宋_GB2312" w:hAnsi="Times New Roman" w:eastAsia="仿宋_GB2312" w:cs="Times New Roman"/>
          <w:bCs/>
          <w:color w:val="FF0000"/>
          <w:sz w:val="24"/>
          <w:highlight w:val="none"/>
          <w:lang w:val="en-US" w:eastAsia="zh-CN"/>
        </w:rPr>
        <w:t>5</w:t>
      </w:r>
      <w:r>
        <w:rPr>
          <w:rFonts w:hint="eastAsia" w:ascii="仿宋_GB2312" w:hAnsi="Times New Roman" w:eastAsia="仿宋_GB2312" w:cs="Times New Roman"/>
          <w:bCs/>
          <w:color w:val="FF0000"/>
          <w:sz w:val="24"/>
          <w:highlight w:val="none"/>
        </w:rPr>
        <w:t>万元</w:t>
      </w:r>
      <w:r>
        <w:rPr>
          <w:rFonts w:hint="eastAsia" w:ascii="仿宋_GB2312" w:hAnsi="Times New Roman" w:eastAsia="仿宋_GB2312" w:cs="Times New Roman"/>
          <w:bCs/>
          <w:color w:val="auto"/>
          <w:sz w:val="24"/>
          <w:highlight w:val="none"/>
        </w:rPr>
        <w:t>，未缴纳报价保证金将不具备报价资格。</w:t>
      </w:r>
    </w:p>
    <w:p w14:paraId="7EDE46C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7A9757B">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29E4D51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7CA699EE">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034BE207">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w:t>
      </w:r>
      <w:r>
        <w:rPr>
          <w:rFonts w:hint="eastAsia" w:ascii="仿宋_GB2312" w:eastAsia="仿宋_GB2312"/>
          <w:bCs/>
          <w:color w:val="auto"/>
          <w:sz w:val="24"/>
          <w:highlight w:val="none"/>
          <w:lang w:val="en-US" w:eastAsia="zh-CN"/>
        </w:rPr>
        <w:t>段村-雷沟矿区2026年渣石运输项目文件费、段村-雷沟矿区2026年渣石运输项目报价保证金</w:t>
      </w:r>
      <w:r>
        <w:rPr>
          <w:rFonts w:hint="eastAsia" w:ascii="仿宋" w:hAnsi="仿宋" w:eastAsia="仿宋" w:cs="仿宋"/>
          <w:bCs/>
          <w:sz w:val="24"/>
          <w:lang w:val="en-US" w:eastAsia="zh-CN"/>
        </w:rPr>
        <w:t>”。</w:t>
      </w:r>
    </w:p>
    <w:p w14:paraId="45BBD35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购买采购文件时间：自公告之日起至2025年11月30日18:30（北京时间）</w:t>
      </w:r>
    </w:p>
    <w:p w14:paraId="15535C4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2"/>
      <w:bookmarkEnd w:id="3"/>
      <w:bookmarkEnd w:id="4"/>
      <w:bookmarkEnd w:id="5"/>
    </w:p>
    <w:p w14:paraId="4A09C25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6" w:name="_Toc517804009"/>
      <w:bookmarkStart w:id="7" w:name="_Toc9267"/>
      <w:bookmarkStart w:id="8" w:name="_Toc3201945"/>
      <w:bookmarkStart w:id="9" w:name="_Toc518044995"/>
      <w:r>
        <w:rPr>
          <w:rFonts w:hint="eastAsia" w:ascii="仿宋" w:hAnsi="仿宋" w:eastAsia="仿宋" w:cs="仿宋"/>
          <w:b/>
          <w:bCs w:val="0"/>
          <w:sz w:val="28"/>
          <w:szCs w:val="28"/>
          <w:lang w:val="en-US" w:eastAsia="zh-CN"/>
        </w:rPr>
        <w:t>6报价文件的递交</w:t>
      </w:r>
      <w:bookmarkEnd w:id="6"/>
      <w:bookmarkEnd w:id="7"/>
      <w:bookmarkEnd w:id="8"/>
      <w:bookmarkEnd w:id="9"/>
    </w:p>
    <w:p w14:paraId="5B7EFEC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报价文件递交截止时间/报价时间：2025年12月2日14:00（北京时间）。</w:t>
      </w:r>
    </w:p>
    <w:p w14:paraId="5481F60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10" w:name="_Toc30303"/>
      <w:r>
        <w:rPr>
          <w:rFonts w:hint="eastAsia" w:ascii="仿宋" w:hAnsi="仿宋" w:eastAsia="仿宋" w:cs="仿宋"/>
          <w:b/>
          <w:bCs w:val="0"/>
          <w:sz w:val="28"/>
          <w:szCs w:val="28"/>
          <w:lang w:val="en-US" w:eastAsia="zh-CN"/>
        </w:rPr>
        <w:t>7发布公告的媒介</w:t>
      </w:r>
      <w:bookmarkEnd w:id="10"/>
    </w:p>
    <w:p w14:paraId="4871A3C1">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11" w:name="_Toc3201947"/>
      <w:bookmarkStart w:id="12" w:name="_Toc518044997"/>
      <w:bookmarkStart w:id="13" w:name="_Toc517804011"/>
      <w:bookmarkStart w:id="14" w:name="_Toc22632"/>
      <w:r>
        <w:rPr>
          <w:rFonts w:hint="eastAsia" w:ascii="仿宋" w:hAnsi="仿宋" w:eastAsia="仿宋" w:cs="仿宋"/>
          <w:b/>
          <w:bCs w:val="0"/>
          <w:sz w:val="28"/>
          <w:szCs w:val="28"/>
          <w:lang w:val="en-US" w:eastAsia="zh-CN"/>
        </w:rPr>
        <w:t>8联系方式</w:t>
      </w:r>
      <w:bookmarkEnd w:id="11"/>
      <w:bookmarkEnd w:id="12"/>
      <w:bookmarkEnd w:id="13"/>
      <w:bookmarkEnd w:id="14"/>
    </w:p>
    <w:p w14:paraId="7ED80B37">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w:t>
      </w:r>
      <w:r>
        <w:rPr>
          <w:rFonts w:hint="eastAsia" w:ascii="仿宋" w:hAnsi="仿宋" w:eastAsia="仿宋" w:cs="仿宋"/>
          <w:bCs/>
          <w:sz w:val="24"/>
          <w:lang w:val="en-US" w:eastAsia="zh-CN"/>
        </w:rPr>
        <w:fldChar w:fldCharType="begin"/>
      </w:r>
      <w:r>
        <w:rPr>
          <w:rFonts w:hint="eastAsia" w:ascii="仿宋" w:hAnsi="仿宋" w:eastAsia="仿宋" w:cs="仿宋"/>
          <w:bCs/>
          <w:sz w:val="24"/>
          <w:lang w:val="en-US" w:eastAsia="zh-CN"/>
        </w:rPr>
        <w:instrText xml:space="preserve"> HYPERLINK "mailto:3245396774@qq.com" </w:instrText>
      </w:r>
      <w:r>
        <w:rPr>
          <w:rFonts w:hint="eastAsia" w:ascii="仿宋" w:hAnsi="仿宋" w:eastAsia="仿宋" w:cs="仿宋"/>
          <w:bCs/>
          <w:sz w:val="24"/>
          <w:lang w:val="en-US" w:eastAsia="zh-CN"/>
        </w:rPr>
        <w:fldChar w:fldCharType="separate"/>
      </w:r>
      <w:r>
        <w:rPr>
          <w:rFonts w:hint="eastAsia" w:ascii="仿宋" w:hAnsi="仿宋" w:eastAsia="仿宋" w:cs="仿宋"/>
          <w:bCs/>
          <w:sz w:val="24"/>
          <w:lang w:val="en-US" w:eastAsia="zh-CN"/>
        </w:rPr>
        <w:t>3245396774@qq.com</w:t>
      </w:r>
      <w:r>
        <w:rPr>
          <w:rFonts w:hint="eastAsia" w:ascii="仿宋" w:hAnsi="仿宋" w:eastAsia="仿宋" w:cs="仿宋"/>
          <w:bCs/>
          <w:sz w:val="24"/>
          <w:lang w:val="en-US" w:eastAsia="zh-CN"/>
        </w:rPr>
        <w:fldChar w:fldCharType="end"/>
      </w:r>
    </w:p>
    <w:p w14:paraId="134CF65C">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技术联系人：王喜兵   13027511218</w:t>
      </w:r>
    </w:p>
    <w:p w14:paraId="4DD6F981">
      <w:pPr>
        <w:spacing w:line="440" w:lineRule="exact"/>
        <w:rPr>
          <w:rFonts w:hint="eastAsia" w:ascii="仿宋" w:hAnsi="仿宋" w:eastAsia="仿宋" w:cs="仿宋"/>
          <w:b/>
          <w:bCs w:val="0"/>
          <w:sz w:val="28"/>
          <w:szCs w:val="28"/>
          <w:lang w:val="en-US" w:eastAsia="zh-CN"/>
        </w:rPr>
      </w:pPr>
      <w:bookmarkStart w:id="15" w:name="_Toc32084"/>
      <w:r>
        <w:rPr>
          <w:rFonts w:hint="eastAsia" w:ascii="仿宋" w:hAnsi="仿宋" w:eastAsia="仿宋" w:cs="仿宋"/>
          <w:b/>
          <w:bCs w:val="0"/>
          <w:sz w:val="28"/>
          <w:szCs w:val="28"/>
          <w:lang w:val="en-US" w:eastAsia="zh-CN"/>
        </w:rPr>
        <w:t>9购买采购文件款请按如下地址汇款</w:t>
      </w:r>
      <w:bookmarkEnd w:id="15"/>
    </w:p>
    <w:p w14:paraId="2CAC488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zk4MjlkMmNkNTdlNTBjNDE0MWFiNmRlOGMwMzIifQ=="/>
  </w:docVars>
  <w:rsids>
    <w:rsidRoot w:val="00000000"/>
    <w:rsid w:val="00155351"/>
    <w:rsid w:val="00BA7CA7"/>
    <w:rsid w:val="037B371D"/>
    <w:rsid w:val="037D6B45"/>
    <w:rsid w:val="0393643C"/>
    <w:rsid w:val="03AA4003"/>
    <w:rsid w:val="044E0E32"/>
    <w:rsid w:val="04DD11F4"/>
    <w:rsid w:val="05880374"/>
    <w:rsid w:val="05C532C6"/>
    <w:rsid w:val="06EC048E"/>
    <w:rsid w:val="08164F8D"/>
    <w:rsid w:val="0AA27488"/>
    <w:rsid w:val="0B094A63"/>
    <w:rsid w:val="0B2F3A13"/>
    <w:rsid w:val="0C880C59"/>
    <w:rsid w:val="0C9475FE"/>
    <w:rsid w:val="0D7F205C"/>
    <w:rsid w:val="0E1F739B"/>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456C52"/>
    <w:rsid w:val="5F7F56ED"/>
    <w:rsid w:val="603248F4"/>
    <w:rsid w:val="62272952"/>
    <w:rsid w:val="63875FB1"/>
    <w:rsid w:val="64D50E4D"/>
    <w:rsid w:val="651E6BDA"/>
    <w:rsid w:val="652D5C58"/>
    <w:rsid w:val="65D0673C"/>
    <w:rsid w:val="662D3262"/>
    <w:rsid w:val="66636F9A"/>
    <w:rsid w:val="66CD3A0C"/>
    <w:rsid w:val="67282BB0"/>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DB491D"/>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autoRedefine/>
    <w:qFormat/>
    <w:uiPriority w:val="0"/>
    <w:pPr>
      <w:spacing w:after="120"/>
    </w:pPr>
  </w:style>
  <w:style w:type="paragraph" w:styleId="6">
    <w:name w:val="Normal Indent"/>
    <w:basedOn w:val="1"/>
    <w:autoRedefine/>
    <w:qFormat/>
    <w:uiPriority w:val="0"/>
    <w:pPr>
      <w:spacing w:line="360" w:lineRule="auto"/>
      <w:ind w:firstLine="200" w:firstLineChars="200"/>
    </w:pPr>
    <w:rPr>
      <w:rFonts w:ascii="宋体" w:hAnsi="宋体"/>
      <w:sz w:val="24"/>
      <w:szCs w:val="20"/>
    </w:rPr>
  </w:style>
  <w:style w:type="paragraph" w:styleId="7">
    <w:name w:val="annotation text"/>
    <w:basedOn w:val="1"/>
    <w:autoRedefine/>
    <w:qFormat/>
    <w:uiPriority w:val="0"/>
    <w:pPr>
      <w:jc w:val="left"/>
    </w:pPr>
    <w:rPr>
      <w:rFonts w:ascii="Calibri" w:hAnsi="Calibri" w:eastAsia="宋体" w:cs="Times New Roman"/>
    </w:rPr>
  </w:style>
  <w:style w:type="paragraph" w:styleId="8">
    <w:name w:val="Body Text Indent"/>
    <w:basedOn w:val="1"/>
    <w:next w:val="6"/>
    <w:autoRedefine/>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1"/>
    <w:autoRedefine/>
    <w:unhideWhenUsed/>
    <w:qFormat/>
    <w:uiPriority w:val="99"/>
    <w:pPr>
      <w:spacing w:before="100" w:beforeAutospacing="1"/>
      <w:ind w:left="200" w:firstLine="420"/>
    </w:pPr>
  </w:style>
  <w:style w:type="character" w:styleId="13">
    <w:name w:val="Hyperlink"/>
    <w:basedOn w:val="12"/>
    <w:qFormat/>
    <w:uiPriority w:val="0"/>
    <w:rPr>
      <w:color w:val="0000FF"/>
      <w:u w:val="single"/>
    </w:rPr>
  </w:style>
  <w:style w:type="character" w:customStyle="1" w:styleId="14">
    <w:name w:val="font12"/>
    <w:basedOn w:val="12"/>
    <w:autoRedefine/>
    <w:qFormat/>
    <w:uiPriority w:val="0"/>
    <w:rPr>
      <w:rFonts w:hint="eastAsia" w:ascii="仿宋" w:hAnsi="仿宋" w:eastAsia="仿宋" w:cs="仿宋"/>
      <w:b/>
      <w:bCs/>
      <w:color w:val="000000"/>
      <w:sz w:val="24"/>
      <w:szCs w:val="24"/>
      <w:u w:val="none"/>
    </w:rPr>
  </w:style>
  <w:style w:type="character" w:customStyle="1" w:styleId="15">
    <w:name w:val="font111"/>
    <w:basedOn w:val="12"/>
    <w:autoRedefine/>
    <w:qFormat/>
    <w:uiPriority w:val="0"/>
    <w:rPr>
      <w:rFonts w:hint="eastAsia" w:ascii="宋体" w:hAnsi="宋体" w:eastAsia="宋体" w:cs="宋体"/>
      <w:color w:val="000000"/>
      <w:sz w:val="22"/>
      <w:szCs w:val="22"/>
      <w:u w:val="none"/>
    </w:rPr>
  </w:style>
  <w:style w:type="character" w:customStyle="1" w:styleId="16">
    <w:name w:val="font122"/>
    <w:basedOn w:val="12"/>
    <w:autoRedefine/>
    <w:qFormat/>
    <w:uiPriority w:val="0"/>
    <w:rPr>
      <w:rFonts w:hint="eastAsia" w:ascii="仿宋" w:hAnsi="仿宋" w:eastAsia="仿宋" w:cs="仿宋"/>
      <w:color w:val="000000"/>
      <w:sz w:val="24"/>
      <w:szCs w:val="24"/>
      <w:u w:val="none"/>
    </w:rPr>
  </w:style>
  <w:style w:type="character" w:customStyle="1" w:styleId="17">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2492</Characters>
  <Lines>0</Lines>
  <Paragraphs>0</Paragraphs>
  <TotalTime>1</TotalTime>
  <ScaleCrop>false</ScaleCrop>
  <LinksUpToDate>false</LinksUpToDate>
  <CharactersWithSpaces>2527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2025-11-28T10:05:32Z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