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CG-ZZ-202512-SCGK-SCZLS-002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生产管控中心202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年冶金级及非冶金级氧化铝发运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推荐中选人：中铝物流集团中州有限公司</w:t>
      </w:r>
      <w:r>
        <w:rPr>
          <w:rFonts w:hint="eastAsia" w:asciiTheme="minorEastAsia" w:hAnsiTheme="minorEastAsia"/>
          <w:bCs/>
          <w:sz w:val="28"/>
          <w:szCs w:val="32"/>
          <w:lang w:eastAsia="zh-CN"/>
        </w:rPr>
        <w:t>修武分公司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  <w:bookmarkStart w:id="0" w:name="_GoBack"/>
      <w:bookmarkEnd w:id="0"/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FF0000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32"/>
        </w:rPr>
        <w:t>202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12月24日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0EA015D4"/>
    <w:rsid w:val="15874C1E"/>
    <w:rsid w:val="1C020D5D"/>
    <w:rsid w:val="1F627627"/>
    <w:rsid w:val="29CD310E"/>
    <w:rsid w:val="2A2D1813"/>
    <w:rsid w:val="39F807D1"/>
    <w:rsid w:val="3A915D99"/>
    <w:rsid w:val="48575B77"/>
    <w:rsid w:val="4EE872FC"/>
    <w:rsid w:val="5B6B6D49"/>
    <w:rsid w:val="5BAC108B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6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2025-12-24T08:51:46Z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