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val="en-US" w:eastAsia="zh-CN"/>
        </w:rPr>
        <w:t>段村、雷沟铝土矿地面老井治理设计编制项目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w:t>
      </w:r>
      <w:r>
        <w:rPr>
          <w:rFonts w:hint="eastAsia" w:ascii="黑体" w:hAnsi="黑体" w:eastAsia="黑体" w:cs="黑体"/>
          <w:bCs/>
          <w:sz w:val="36"/>
          <w:szCs w:val="36"/>
          <w:lang w:val="en-US" w:eastAsia="zh-CN"/>
        </w:rPr>
        <w:t>2</w:t>
      </w:r>
      <w:r>
        <w:rPr>
          <w:rFonts w:hint="eastAsia" w:ascii="黑体" w:hAnsi="黑体" w:eastAsia="黑体" w:cs="黑体"/>
          <w:bCs/>
          <w:sz w:val="36"/>
          <w:szCs w:val="36"/>
          <w:lang w:eastAsia="zh-CN"/>
        </w:rPr>
        <w:t>-SCGK-SCZLK-001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color w:val="auto"/>
          <w:sz w:val="24"/>
          <w:highlight w:val="none"/>
          <w:lang w:val="en-US" w:eastAsia="zh-CN"/>
        </w:rPr>
        <w:t>段村、雷沟铝土矿地面老井治理设计编制项目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w:t>
      </w:r>
      <w:r>
        <w:rPr>
          <w:rFonts w:hint="eastAsia" w:ascii="仿宋" w:hAnsi="仿宋" w:eastAsia="仿宋" w:cs="仿宋"/>
          <w:bCs/>
          <w:color w:val="auto"/>
          <w:sz w:val="24"/>
          <w:highlight w:val="none"/>
          <w:lang w:val="en-US" w:eastAsia="zh-CN"/>
        </w:rPr>
        <w:t>段村、雷沟铝土矿地面老井治理设计编制项目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2025年9月至10月份，河南省渑池县境内连续降雨，致使段村矿井下涌水量突增，根据段村2号井和3号井水泵排水量记录，排水量较7-8月份增加显著，特别是3号井排水量由6000m³/d增加至25000m³/d，而段村矿自2025年5月17日以来一直处于停工状态，未进行开拓作业，由此可知排水量的增加与此次降雨有这直接的联系，推测出地表降水通过裂隙、软弱层、民采巷道汇入井下。大量地表水汇入井下不仅对今后采掘作业造成严重安全隐患，同时还增加了相当大排水费用，排1m³水需要0.9元水资源税及0.8元电费，段村矿停工期间仅排水费用较之前增加100万元/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根据段村、雷沟铝土矿隐蔽致灾因素普查报告，段村矿区范围内原排查出老井约为191口，雷沟矿区范围内原排查出老井约为143口，均已进行了简易的封堵。但原部分老井位于河道、汇水区范围内，存在积水、导水等安全隐患。为了全面治理矿区隐患老井，需同时开展</w:t>
      </w:r>
      <w:bookmarkStart w:id="0" w:name="OLE_LINK1"/>
      <w:r>
        <w:rPr>
          <w:rFonts w:hint="eastAsia" w:ascii="仿宋" w:hAnsi="仿宋" w:eastAsia="仿宋" w:cs="仿宋"/>
          <w:bCs/>
          <w:sz w:val="24"/>
          <w:lang w:val="en-US" w:eastAsia="zh-CN"/>
        </w:rPr>
        <w:t>段村矿和雷沟矿地面老井治理</w:t>
      </w:r>
      <w:bookmarkEnd w:id="0"/>
      <w:r>
        <w:rPr>
          <w:rFonts w:hint="eastAsia" w:ascii="仿宋" w:hAnsi="仿宋" w:eastAsia="仿宋" w:cs="仿宋"/>
          <w:bCs/>
          <w:sz w:val="24"/>
          <w:lang w:val="en-US" w:eastAsia="zh-CN"/>
        </w:rPr>
        <w:t>工作。</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w:t>
      </w:r>
      <w:r>
        <w:rPr>
          <w:rFonts w:hint="eastAsia" w:ascii="仿宋_GB2312" w:hAnsi="Calibri" w:eastAsia="仿宋_GB2312" w:cs="Times New Roman"/>
          <w:bCs/>
          <w:color w:val="auto"/>
          <w:kern w:val="2"/>
          <w:sz w:val="24"/>
          <w:szCs w:val="24"/>
          <w:lang w:val="en-US" w:eastAsia="zh-CN" w:bidi="ar-SA"/>
        </w:rPr>
        <w:t>河南省三门峡市渑池县</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结合矿区隐蔽致灾因素普查报告，对矿区进行实地核查，完成相应治理方案的编制、修改，以及最终设计的提交（报告文本需为word，pdf格式，图纸需为cad、mapgis版本）。</w:t>
      </w:r>
    </w:p>
    <w:p>
      <w:pPr>
        <w:snapToGrid w:val="0"/>
        <w:spacing w:line="400" w:lineRule="exact"/>
        <w:ind w:firstLine="480" w:firstLineChars="200"/>
        <w:textAlignment w:val="baseline"/>
        <w:rPr>
          <w:rFonts w:hint="eastAsia" w:ascii="仿宋_GB2312" w:hAnsi="Calibri" w:eastAsia="仿宋_GB2312" w:cs="Times New Roman"/>
          <w:bCs/>
          <w:color w:val="auto"/>
          <w:kern w:val="2"/>
          <w:sz w:val="24"/>
          <w:szCs w:val="24"/>
          <w:lang w:val="en-US" w:eastAsia="zh-CN" w:bidi="ar-SA"/>
        </w:rPr>
      </w:pPr>
      <w:r>
        <w:rPr>
          <w:rFonts w:hint="eastAsia" w:ascii="仿宋_GB2312" w:hAnsi="Calibri" w:eastAsia="仿宋_GB2312" w:cs="Times New Roman"/>
          <w:bCs/>
          <w:color w:val="auto"/>
          <w:kern w:val="2"/>
          <w:sz w:val="24"/>
          <w:szCs w:val="24"/>
          <w:lang w:val="en-US" w:eastAsia="zh-CN" w:bidi="ar-SA"/>
        </w:rPr>
        <w:t>2.5.2质量要求：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2.5.2.1</w:t>
      </w:r>
      <w:r>
        <w:rPr>
          <w:rFonts w:hint="eastAsia" w:ascii="仿宋" w:hAnsi="仿宋" w:eastAsia="仿宋" w:cs="仿宋"/>
          <w:bCs/>
          <w:color w:val="auto"/>
          <w:kern w:val="2"/>
          <w:sz w:val="24"/>
          <w:szCs w:val="24"/>
          <w:highlight w:val="none"/>
          <w:lang w:val="en-US" w:eastAsia="zh-CN" w:bidi="ar-SA"/>
        </w:rPr>
        <w:t>符合地灾类设计方案编制的相关要求，符合业主方要求。</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2.5.2.2</w:t>
      </w:r>
      <w:r>
        <w:rPr>
          <w:rFonts w:hint="eastAsia" w:ascii="仿宋" w:hAnsi="仿宋" w:eastAsia="仿宋" w:cs="仿宋"/>
          <w:bCs/>
          <w:color w:val="auto"/>
          <w:kern w:val="2"/>
          <w:sz w:val="24"/>
          <w:szCs w:val="24"/>
          <w:highlight w:val="none"/>
          <w:lang w:val="en-US" w:eastAsia="zh-CN" w:bidi="ar-SA"/>
        </w:rPr>
        <w:t>设计通过业主方的评审</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2.8工期：</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color w:val="auto"/>
          <w:sz w:val="24"/>
          <w:highlight w:val="none"/>
          <w:lang w:val="en-US" w:eastAsia="zh-CN"/>
        </w:rPr>
        <w:t>自合同签订之日起1个月内完成设计初稿、2个月内完成设计的评审</w:t>
      </w:r>
      <w:r>
        <w:rPr>
          <w:rFonts w:hint="eastAsia" w:ascii="仿宋" w:hAnsi="仿宋" w:eastAsia="仿宋" w:cs="仿宋"/>
          <w:bCs/>
          <w:sz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1  中华人民共和国注册登记的，持有合法有效的营业执照或事业单位法人证书；</w:t>
      </w:r>
    </w:p>
    <w:p>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2  具备履行合同的能力，包括资质状况，专业、技术资格和能力，资金、设备和其他设施状况，管理能力，经验、信誉和相应的从业人员；</w:t>
      </w:r>
    </w:p>
    <w:p>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  报价人没有处于被责令停业，报价资格没有被取消，财产没有被接管、冻结、破产状态；在最近三年内没有骗取中选和严重违约及重大质量问题；</w:t>
      </w:r>
    </w:p>
    <w:p>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4  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  近三年有承担地灾类工程设计的业绩；</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  具备法律、行政法规规定的其他资格条件；</w:t>
      </w:r>
    </w:p>
    <w:p>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7  本项目不允许联合体报价。</w:t>
      </w:r>
    </w:p>
    <w:p>
      <w:pPr>
        <w:adjustRightInd w:val="0"/>
        <w:spacing w:line="4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cs="Times New Roman"/>
          <w:bCs/>
          <w:color w:val="auto"/>
          <w:kern w:val="2"/>
          <w:sz w:val="24"/>
          <w:szCs w:val="24"/>
          <w:highlight w:val="none"/>
          <w:lang w:val="en-US" w:eastAsia="zh-CN" w:bidi="ar-SA"/>
        </w:rPr>
        <w:t>8</w:t>
      </w:r>
      <w:r>
        <w:rPr>
          <w:rFonts w:hint="eastAsia" w:ascii="仿宋_GB2312" w:hAnsi="Calibri" w:eastAsia="仿宋_GB2312" w:cs="Times New Roman"/>
          <w:bCs/>
          <w:color w:val="auto"/>
          <w:kern w:val="2"/>
          <w:sz w:val="24"/>
          <w:szCs w:val="24"/>
          <w:highlight w:val="none"/>
          <w:lang w:val="en-US" w:eastAsia="zh-CN" w:bidi="ar-SA"/>
        </w:rPr>
        <w:t xml:space="preserve"> </w:t>
      </w:r>
      <w:r>
        <w:rPr>
          <w:rFonts w:hint="eastAsia" w:ascii="仿宋_GB2312" w:hAnsi="Calibri" w:cs="Times New Roman"/>
          <w:bCs/>
          <w:color w:val="auto"/>
          <w:kern w:val="2"/>
          <w:sz w:val="24"/>
          <w:szCs w:val="24"/>
          <w:highlight w:val="none"/>
          <w:lang w:val="en-US" w:eastAsia="zh-CN" w:bidi="ar-SA"/>
        </w:rPr>
        <w:t xml:space="preserve"> </w:t>
      </w:r>
      <w:r>
        <w:rPr>
          <w:rFonts w:hint="eastAsia" w:ascii="仿宋_GB2312" w:hAnsi="Calibri" w:eastAsia="仿宋_GB2312" w:cs="Times New Roman"/>
          <w:bCs/>
          <w:color w:val="auto"/>
          <w:kern w:val="2"/>
          <w:sz w:val="24"/>
          <w:szCs w:val="24"/>
          <w:highlight w:val="none"/>
          <w:lang w:val="en-US" w:eastAsia="zh-CN" w:bidi="ar-SA"/>
        </w:rPr>
        <w:t>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1" w:name="_Toc3201944"/>
      <w:bookmarkStart w:id="2" w:name="_Toc518044994"/>
      <w:bookmarkStart w:id="3" w:name="_Toc517804008"/>
      <w:bookmarkStart w:id="4" w:name="_Toc27489"/>
      <w:r>
        <w:rPr>
          <w:rFonts w:hint="eastAsia" w:ascii="仿宋" w:hAnsi="仿宋" w:eastAsia="仿宋" w:cs="仿宋"/>
          <w:bCs/>
          <w:sz w:val="24"/>
          <w:lang w:val="en-US" w:eastAsia="zh-CN"/>
        </w:rPr>
        <w:t>4.1</w:t>
      </w:r>
      <w:r>
        <w:rPr>
          <w:rFonts w:hint="eastAsia" w:ascii="仿宋" w:hAnsi="仿宋" w:eastAsia="仿宋" w:cs="仿宋"/>
          <w:bCs/>
          <w:sz w:val="24"/>
          <w:highlight w:val="yellow"/>
          <w:lang w:val="en-US" w:eastAsia="zh-CN"/>
        </w:rPr>
        <w:t>采购文件的价格为200元/份</w:t>
      </w:r>
      <w:r>
        <w:rPr>
          <w:rFonts w:hint="eastAsia" w:ascii="仿宋" w:hAnsi="仿宋" w:eastAsia="仿宋" w:cs="仿宋"/>
          <w:bCs/>
          <w:sz w:val="24"/>
          <w:lang w:val="en-US" w:eastAsia="zh-CN"/>
        </w:rPr>
        <w:t>，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w:t>
      </w:r>
      <w:bookmarkStart w:id="15" w:name="_GoBack"/>
      <w:bookmarkEnd w:id="15"/>
      <w:r>
        <w:rPr>
          <w:rFonts w:hint="eastAsia" w:ascii="仿宋" w:hAnsi="仿宋" w:eastAsia="仿宋" w:cs="仿宋"/>
          <w:bCs/>
          <w:sz w:val="24"/>
          <w:lang w:val="en-US" w:eastAsia="zh-CN"/>
        </w:rPr>
        <w:t>方可取得采购文件（纸质版）。</w:t>
      </w:r>
    </w:p>
    <w:p>
      <w:pPr>
        <w:snapToGrid w:val="0"/>
        <w:spacing w:line="400" w:lineRule="exact"/>
        <w:ind w:firstLine="480" w:firstLineChars="200"/>
        <w:textAlignment w:val="baseline"/>
        <w:rPr>
          <w:rFonts w:hint="eastAsia" w:ascii="仿宋" w:hAnsi="仿宋" w:eastAsia="仿宋" w:cs="仿宋"/>
          <w:bCs/>
          <w:sz w:val="24"/>
          <w:highlight w:val="yellow"/>
          <w:lang w:val="en-US" w:eastAsia="zh-CN"/>
        </w:rPr>
      </w:pPr>
      <w:r>
        <w:rPr>
          <w:rFonts w:hint="eastAsia" w:ascii="仿宋" w:hAnsi="仿宋" w:eastAsia="仿宋" w:cs="仿宋"/>
          <w:bCs/>
          <w:sz w:val="24"/>
          <w:highlight w:val="yellow"/>
          <w:lang w:val="en-US" w:eastAsia="zh-CN"/>
        </w:rPr>
        <w:t>报价保证金3000元。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w:t>
      </w:r>
      <w:r>
        <w:rPr>
          <w:rFonts w:hint="eastAsia" w:ascii="仿宋" w:hAnsi="仿宋" w:eastAsia="仿宋" w:cs="仿宋"/>
          <w:bCs/>
          <w:sz w:val="24"/>
          <w:highlight w:val="yellow"/>
          <w:lang w:val="en-US" w:eastAsia="zh-CN"/>
        </w:rPr>
        <w:t>“段村、雷沟铝土矿地面老井治理设计编制项目采购文件费”，“段村、雷沟铝土矿地面老井治理设计编制项目报价保证金”</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购买采购文件时间：自公告之日起至2026年2月5日16:30（北京时间）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1"/>
      <w:bookmarkEnd w:id="2"/>
      <w:bookmarkEnd w:id="3"/>
      <w:bookmarkEnd w:id="4"/>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5" w:name="_Toc9267"/>
      <w:bookmarkStart w:id="6" w:name="_Toc518044995"/>
      <w:bookmarkStart w:id="7" w:name="_Toc3201945"/>
      <w:bookmarkStart w:id="8" w:name="_Toc517804009"/>
      <w:r>
        <w:rPr>
          <w:rFonts w:hint="eastAsia" w:ascii="仿宋" w:hAnsi="仿宋" w:eastAsia="仿宋" w:cs="仿宋"/>
          <w:b/>
          <w:bCs w:val="0"/>
          <w:sz w:val="28"/>
          <w:szCs w:val="28"/>
          <w:lang w:val="en-US" w:eastAsia="zh-CN"/>
        </w:rPr>
        <w:t>6报价文件的递交</w:t>
      </w:r>
      <w:bookmarkEnd w:id="5"/>
      <w:bookmarkEnd w:id="6"/>
      <w:bookmarkEnd w:id="7"/>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报价文件递交截止时间/报价时间：2026年2月6日9:00（北京时间）。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报价及评审地点：中铝中州铝业生产管控中心生产质量办公室会议室（中州铝业办公楼西保卫部三楼）</w:t>
      </w:r>
    </w:p>
    <w:p>
      <w:pPr>
        <w:spacing w:line="440" w:lineRule="exact"/>
        <w:rPr>
          <w:rFonts w:hint="eastAsia" w:ascii="仿宋" w:hAnsi="仿宋" w:eastAsia="仿宋" w:cs="仿宋"/>
          <w:b/>
          <w:bCs w:val="0"/>
          <w:sz w:val="28"/>
          <w:szCs w:val="28"/>
          <w:lang w:val="en-US" w:eastAsia="zh-CN"/>
        </w:rPr>
      </w:pPr>
      <w:bookmarkStart w:id="9" w:name="_Toc30303"/>
      <w:r>
        <w:rPr>
          <w:rFonts w:hint="eastAsia" w:ascii="仿宋" w:hAnsi="仿宋" w:eastAsia="仿宋" w:cs="仿宋"/>
          <w:b/>
          <w:bCs w:val="0"/>
          <w:sz w:val="28"/>
          <w:szCs w:val="28"/>
          <w:lang w:val="en-US" w:eastAsia="zh-CN"/>
        </w:rPr>
        <w:t>7发布公告的媒介</w:t>
      </w:r>
      <w:bookmarkEnd w:id="9"/>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10" w:name="_Toc3201947"/>
      <w:bookmarkStart w:id="11" w:name="_Toc517804011"/>
      <w:bookmarkStart w:id="12" w:name="_Toc22632"/>
      <w:bookmarkStart w:id="13" w:name="_Toc518044997"/>
      <w:r>
        <w:rPr>
          <w:rFonts w:hint="eastAsia" w:ascii="仿宋" w:hAnsi="仿宋" w:eastAsia="仿宋" w:cs="仿宋"/>
          <w:b/>
          <w:bCs w:val="0"/>
          <w:sz w:val="28"/>
          <w:szCs w:val="28"/>
          <w:lang w:val="en-US" w:eastAsia="zh-CN"/>
        </w:rPr>
        <w:t>8联系方式</w:t>
      </w:r>
      <w:bookmarkEnd w:id="10"/>
      <w:bookmarkEnd w:id="11"/>
      <w:bookmarkEnd w:id="12"/>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4" w:name="_Toc32084"/>
      <w:r>
        <w:rPr>
          <w:rFonts w:hint="eastAsia" w:ascii="仿宋" w:hAnsi="仿宋" w:eastAsia="仿宋" w:cs="仿宋"/>
          <w:b/>
          <w:bCs w:val="0"/>
          <w:sz w:val="28"/>
          <w:szCs w:val="28"/>
          <w:lang w:val="en-US" w:eastAsia="zh-CN"/>
        </w:rPr>
        <w:t>9购买采购文件款请按如下地址汇款</w:t>
      </w:r>
      <w:bookmarkEnd w:id="14"/>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EC048E"/>
    <w:rsid w:val="08164F8D"/>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4</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2026-02-02T02:40:23Z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