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Lines="0" w:after="192" w:line="240" w:lineRule="auto"/>
        <w:ind w:firstLine="3196" w:firstLineChars="995"/>
        <w:jc w:val="both"/>
        <w:rPr>
          <w:rFonts w:ascii="宋体"/>
          <w:color w:val="000000"/>
        </w:rPr>
      </w:pPr>
      <w:bookmarkStart w:id="0" w:name="_Toc535931307"/>
      <w:bookmarkStart w:id="1" w:name="_Toc499044278"/>
      <w:bookmarkStart w:id="2" w:name="_Toc501284274"/>
      <w:r>
        <w:rPr>
          <w:rFonts w:hint="eastAsia" w:ascii="宋体" w:hAnsi="宋体"/>
          <w:color w:val="000000"/>
        </w:rPr>
        <w:t xml:space="preserve"> 采 购</w:t>
      </w:r>
      <w:bookmarkEnd w:id="0"/>
      <w:bookmarkEnd w:id="1"/>
      <w:bookmarkEnd w:id="2"/>
      <w:r>
        <w:rPr>
          <w:rFonts w:hint="eastAsia" w:ascii="宋体" w:hAnsi="宋体"/>
          <w:color w:val="000000"/>
        </w:rPr>
        <w:t xml:space="preserve"> 公 告</w:t>
      </w:r>
    </w:p>
    <w:p>
      <w:pPr>
        <w:spacing w:line="360" w:lineRule="auto"/>
        <w:ind w:firstLine="480" w:firstLineChars="200"/>
        <w:rPr>
          <w:rFonts w:ascii="宋体"/>
          <w:color w:val="000000"/>
          <w:sz w:val="24"/>
        </w:rPr>
      </w:pPr>
      <w:r>
        <w:rPr>
          <w:rFonts w:hint="eastAsia" w:ascii="宋体" w:hAnsi="宋体"/>
          <w:sz w:val="24"/>
        </w:rPr>
        <w:t xml:space="preserve">  中铝中州铝业有限公司生产管控中心</w:t>
      </w:r>
      <w:r>
        <w:rPr>
          <w:rFonts w:ascii="宋体" w:hAnsi="宋体"/>
          <w:sz w:val="24"/>
        </w:rPr>
        <w:t>（以下简称采购单位）</w:t>
      </w:r>
      <w:r>
        <w:rPr>
          <w:rFonts w:hint="eastAsia" w:ascii="宋体" w:hAnsi="宋体"/>
          <w:sz w:val="24"/>
          <w:lang w:eastAsia="zh-CN"/>
        </w:rPr>
        <w:t>就</w:t>
      </w:r>
      <w:r>
        <w:rPr>
          <w:rFonts w:hint="eastAsia" w:ascii="宋体" w:hAnsi="宋体"/>
          <w:sz w:val="24"/>
        </w:rPr>
        <w:t>中州</w:t>
      </w:r>
      <w:r>
        <w:rPr>
          <w:rFonts w:hint="eastAsia" w:ascii="宋体" w:hAnsi="宋体"/>
          <w:sz w:val="24"/>
          <w:lang w:eastAsia="zh-CN"/>
        </w:rPr>
        <w:t>企业（含</w:t>
      </w:r>
      <w:r>
        <w:rPr>
          <w:rFonts w:hint="eastAsia" w:ascii="宋体" w:hAnsi="宋体"/>
          <w:sz w:val="24"/>
        </w:rPr>
        <w:t>生产管控中心</w:t>
      </w:r>
      <w:r>
        <w:rPr>
          <w:rFonts w:hint="eastAsia" w:ascii="宋体" w:hAnsi="宋体"/>
          <w:sz w:val="24"/>
          <w:lang w:eastAsia="zh-CN"/>
        </w:rPr>
        <w:t>、中铝中州新材料科技有限公司）</w:t>
      </w:r>
      <w:r>
        <w:rPr>
          <w:rFonts w:hint="eastAsia" w:ascii="宋体" w:hAnsi="宋体" w:cs="宋体"/>
          <w:color w:val="000000"/>
          <w:kern w:val="0"/>
          <w:sz w:val="24"/>
          <w:lang w:eastAsia="zh-CN"/>
        </w:rPr>
        <w:t>2026</w:t>
      </w:r>
      <w:r>
        <w:rPr>
          <w:rFonts w:hint="eastAsia" w:ascii="宋体" w:hAnsi="宋体" w:cs="宋体"/>
          <w:color w:val="000000"/>
          <w:kern w:val="0"/>
          <w:sz w:val="24"/>
        </w:rPr>
        <w:t>年</w:t>
      </w:r>
      <w:r>
        <w:rPr>
          <w:rFonts w:hint="eastAsia" w:ascii="宋体" w:hAnsi="宋体" w:cs="宋体"/>
          <w:color w:val="000000"/>
          <w:kern w:val="0"/>
          <w:sz w:val="24"/>
          <w:lang w:eastAsia="zh-CN"/>
        </w:rPr>
        <w:t>高空作业</w:t>
      </w:r>
      <w:r>
        <w:rPr>
          <w:rFonts w:hint="eastAsia" w:ascii="宋体" w:hAnsi="宋体" w:cs="宋体"/>
          <w:color w:val="000000"/>
          <w:kern w:val="0"/>
          <w:sz w:val="24"/>
        </w:rPr>
        <w:t>项目</w:t>
      </w:r>
      <w:r>
        <w:rPr>
          <w:rFonts w:hint="eastAsia" w:ascii="宋体" w:hAnsi="宋体" w:cs="宋体"/>
          <w:color w:val="000000"/>
          <w:kern w:val="0"/>
          <w:sz w:val="24"/>
          <w:lang w:eastAsia="zh-CN"/>
        </w:rPr>
        <w:t>对河南中州铝厂有限公司</w:t>
      </w:r>
      <w:r>
        <w:rPr>
          <w:rFonts w:hint="eastAsia" w:ascii="宋体" w:hAnsi="宋体" w:cs="宋体"/>
          <w:color w:val="000000"/>
          <w:kern w:val="0"/>
          <w:sz w:val="24"/>
        </w:rPr>
        <w:t>进行直接采购。</w:t>
      </w:r>
    </w:p>
    <w:p>
      <w:pPr>
        <w:numPr>
          <w:ilvl w:val="0"/>
          <w:numId w:val="1"/>
        </w:numPr>
        <w:spacing w:line="360" w:lineRule="auto"/>
        <w:ind w:firstLine="480" w:firstLineChars="200"/>
        <w:jc w:val="left"/>
        <w:rPr>
          <w:rFonts w:ascii="宋体" w:hAnsi="宋体"/>
          <w:color w:val="auto"/>
          <w:sz w:val="24"/>
        </w:rPr>
      </w:pPr>
      <w:r>
        <w:rPr>
          <w:rFonts w:hint="eastAsia" w:ascii="宋体" w:hAnsi="宋体"/>
          <w:color w:val="000000" w:themeColor="text1"/>
          <w:sz w:val="24"/>
          <w14:textFill>
            <w14:solidFill>
              <w14:schemeClr w14:val="tx1"/>
            </w14:solidFill>
          </w14:textFill>
        </w:rPr>
        <w:t>采购编号：</w:t>
      </w:r>
      <w:r>
        <w:rPr>
          <w:rFonts w:hint="eastAsia" w:ascii="宋体" w:hAnsi="宋体"/>
          <w:color w:val="auto"/>
          <w:sz w:val="24"/>
          <w:highlight w:val="none"/>
        </w:rPr>
        <w:t>CG-ZZ-202603-SCGK-SCJSS-001</w:t>
      </w:r>
    </w:p>
    <w:p>
      <w:pPr>
        <w:numPr>
          <w:ilvl w:val="0"/>
          <w:numId w:val="1"/>
        </w:numPr>
        <w:spacing w:line="360" w:lineRule="auto"/>
        <w:ind w:firstLine="480" w:firstLineChars="200"/>
        <w:jc w:val="left"/>
        <w:rPr>
          <w:rFonts w:ascii="宋体" w:hAnsi="宋体"/>
          <w:color w:val="000000"/>
          <w:sz w:val="24"/>
        </w:rPr>
      </w:pPr>
      <w:r>
        <w:rPr>
          <w:rFonts w:hint="eastAsia" w:ascii="宋体" w:hAnsi="宋体"/>
          <w:color w:val="000000"/>
          <w:sz w:val="24"/>
        </w:rPr>
        <w:t>采购项目名称、内容、期限、交货地点</w:t>
      </w:r>
    </w:p>
    <w:tbl>
      <w:tblPr>
        <w:tblStyle w:val="35"/>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528"/>
        <w:gridCol w:w="3641"/>
        <w:gridCol w:w="1335"/>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596" w:type="dxa"/>
            <w:vAlign w:val="center"/>
          </w:tcPr>
          <w:p>
            <w:pPr>
              <w:jc w:val="center"/>
              <w:rPr>
                <w:rFonts w:ascii="宋体"/>
                <w:b/>
                <w:sz w:val="24"/>
              </w:rPr>
            </w:pPr>
            <w:r>
              <w:rPr>
                <w:rFonts w:hint="eastAsia" w:ascii="宋体" w:hAnsi="宋体"/>
                <w:b/>
                <w:sz w:val="24"/>
                <w:lang w:eastAsia="zh-CN"/>
              </w:rPr>
              <w:t>序</w:t>
            </w:r>
            <w:r>
              <w:rPr>
                <w:rFonts w:hint="eastAsia" w:ascii="宋体" w:hAnsi="宋体"/>
                <w:b/>
                <w:sz w:val="24"/>
              </w:rPr>
              <w:t>号</w:t>
            </w:r>
          </w:p>
        </w:tc>
        <w:tc>
          <w:tcPr>
            <w:tcW w:w="1528" w:type="dxa"/>
            <w:vAlign w:val="center"/>
          </w:tcPr>
          <w:p>
            <w:pPr>
              <w:jc w:val="center"/>
              <w:rPr>
                <w:rFonts w:ascii="宋体"/>
                <w:b/>
                <w:sz w:val="24"/>
              </w:rPr>
            </w:pPr>
            <w:r>
              <w:rPr>
                <w:rFonts w:hint="eastAsia" w:ascii="宋体" w:hAnsi="宋体"/>
                <w:b/>
                <w:sz w:val="24"/>
                <w:lang w:eastAsia="zh-CN"/>
              </w:rPr>
              <w:t>项目</w:t>
            </w:r>
            <w:r>
              <w:rPr>
                <w:rFonts w:hint="eastAsia" w:ascii="宋体" w:hAnsi="宋体"/>
                <w:b/>
                <w:sz w:val="24"/>
              </w:rPr>
              <w:t>名称</w:t>
            </w:r>
          </w:p>
        </w:tc>
        <w:tc>
          <w:tcPr>
            <w:tcW w:w="3641" w:type="dxa"/>
            <w:vAlign w:val="center"/>
          </w:tcPr>
          <w:p>
            <w:pPr>
              <w:jc w:val="center"/>
              <w:rPr>
                <w:rFonts w:ascii="宋体"/>
                <w:b/>
                <w:sz w:val="24"/>
              </w:rPr>
            </w:pPr>
            <w:r>
              <w:rPr>
                <w:rFonts w:hint="eastAsia" w:ascii="宋体" w:hAnsi="宋体"/>
                <w:b/>
                <w:sz w:val="24"/>
              </w:rPr>
              <w:t>内容</w:t>
            </w:r>
          </w:p>
        </w:tc>
        <w:tc>
          <w:tcPr>
            <w:tcW w:w="1335" w:type="dxa"/>
            <w:vAlign w:val="center"/>
          </w:tcPr>
          <w:p>
            <w:pPr>
              <w:jc w:val="center"/>
              <w:rPr>
                <w:rFonts w:ascii="宋体"/>
                <w:b/>
                <w:sz w:val="24"/>
              </w:rPr>
            </w:pPr>
            <w:r>
              <w:rPr>
                <w:rFonts w:hint="eastAsia" w:ascii="宋体" w:hAnsi="宋体"/>
                <w:b/>
                <w:sz w:val="24"/>
              </w:rPr>
              <w:t>期限</w:t>
            </w:r>
          </w:p>
        </w:tc>
        <w:tc>
          <w:tcPr>
            <w:tcW w:w="1398" w:type="dxa"/>
            <w:vAlign w:val="center"/>
          </w:tcPr>
          <w:p>
            <w:pPr>
              <w:jc w:val="center"/>
              <w:rPr>
                <w:rFonts w:ascii="宋体"/>
                <w:b/>
                <w:sz w:val="24"/>
              </w:rPr>
            </w:pPr>
            <w:r>
              <w:rPr>
                <w:rFonts w:hint="eastAsia" w:ascii="宋体" w:hAnsi="宋体"/>
                <w:b/>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596" w:type="dxa"/>
            <w:vAlign w:val="center"/>
          </w:tcPr>
          <w:p>
            <w:pPr>
              <w:jc w:val="center"/>
              <w:rPr>
                <w:rFonts w:ascii="宋体" w:hAnsi="宋体"/>
                <w:color w:val="000000"/>
                <w:szCs w:val="21"/>
              </w:rPr>
            </w:pPr>
            <w:r>
              <w:rPr>
                <w:rFonts w:hint="eastAsia" w:ascii="宋体" w:hAnsi="宋体"/>
                <w:color w:val="000000"/>
                <w:szCs w:val="21"/>
              </w:rPr>
              <w:t>1</w:t>
            </w:r>
          </w:p>
        </w:tc>
        <w:tc>
          <w:tcPr>
            <w:tcW w:w="1528" w:type="dxa"/>
            <w:vAlign w:val="center"/>
          </w:tcPr>
          <w:p>
            <w:pPr>
              <w:spacing w:line="276" w:lineRule="auto"/>
              <w:jc w:val="left"/>
              <w:rPr>
                <w:rFonts w:ascii="宋体" w:hAnsi="宋体"/>
                <w:color w:val="000000"/>
                <w:sz w:val="18"/>
                <w:szCs w:val="18"/>
              </w:rPr>
            </w:pPr>
            <w:r>
              <w:rPr>
                <w:rFonts w:hint="eastAsia" w:ascii="宋体" w:hAnsi="宋体"/>
                <w:sz w:val="24"/>
                <w:lang w:eastAsia="zh-CN"/>
              </w:rPr>
              <w:t>中州企业</w:t>
            </w:r>
            <w:r>
              <w:rPr>
                <w:rFonts w:hint="eastAsia" w:ascii="宋体" w:hAnsi="宋体"/>
                <w:sz w:val="24"/>
                <w:lang w:val="en-US" w:eastAsia="zh-CN"/>
              </w:rPr>
              <w:t>2026年</w:t>
            </w:r>
            <w:r>
              <w:rPr>
                <w:rFonts w:hint="eastAsia" w:ascii="宋体" w:hAnsi="宋体"/>
                <w:sz w:val="24"/>
                <w:lang w:eastAsia="zh-CN"/>
              </w:rPr>
              <w:t>高空作业</w:t>
            </w:r>
          </w:p>
        </w:tc>
        <w:tc>
          <w:tcPr>
            <w:tcW w:w="3641" w:type="dxa"/>
            <w:vAlign w:val="center"/>
          </w:tcPr>
          <w:p>
            <w:pPr>
              <w:spacing w:line="276" w:lineRule="auto"/>
              <w:ind w:firstLine="480" w:firstLineChars="200"/>
              <w:jc w:val="left"/>
              <w:rPr>
                <w:rFonts w:hint="eastAsia" w:ascii="宋体" w:hAnsi="宋体"/>
                <w:sz w:val="24"/>
                <w:lang w:eastAsia="zh-CN"/>
              </w:rPr>
            </w:pPr>
            <w:r>
              <w:rPr>
                <w:rFonts w:hint="eastAsia" w:ascii="宋体" w:hAnsi="宋体"/>
                <w:sz w:val="24"/>
                <w:lang w:eastAsia="zh-CN"/>
              </w:rPr>
              <w:t>生产管控中心和中铝中州新材料科技有限公司各区域高空作业项目</w:t>
            </w:r>
          </w:p>
        </w:tc>
        <w:tc>
          <w:tcPr>
            <w:tcW w:w="1335" w:type="dxa"/>
            <w:vAlign w:val="center"/>
          </w:tcPr>
          <w:p>
            <w:pPr>
              <w:spacing w:line="276" w:lineRule="auto"/>
              <w:jc w:val="center"/>
              <w:rPr>
                <w:rFonts w:hint="eastAsia" w:ascii="宋体" w:hAnsi="宋体"/>
                <w:sz w:val="24"/>
                <w:lang w:eastAsia="zh-CN"/>
              </w:rPr>
            </w:pPr>
            <w:r>
              <w:rPr>
                <w:rFonts w:hint="eastAsia" w:ascii="宋体" w:hAnsi="宋体"/>
                <w:sz w:val="24"/>
                <w:lang w:eastAsia="zh-CN"/>
              </w:rPr>
              <w:t>一年</w:t>
            </w:r>
          </w:p>
        </w:tc>
        <w:tc>
          <w:tcPr>
            <w:tcW w:w="1398" w:type="dxa"/>
            <w:vAlign w:val="center"/>
          </w:tcPr>
          <w:p>
            <w:pPr>
              <w:jc w:val="center"/>
              <w:rPr>
                <w:sz w:val="20"/>
                <w:szCs w:val="21"/>
              </w:rPr>
            </w:pPr>
            <w:r>
              <w:rPr>
                <w:rFonts w:hint="eastAsia" w:ascii="宋体" w:hAnsi="宋体"/>
                <w:color w:val="000000"/>
                <w:szCs w:val="21"/>
              </w:rPr>
              <w:t>生产管控中心</w:t>
            </w:r>
            <w:r>
              <w:rPr>
                <w:rFonts w:hint="eastAsia" w:ascii="宋体" w:hAnsi="宋体"/>
                <w:color w:val="000000"/>
                <w:szCs w:val="21"/>
                <w:lang w:eastAsia="zh-CN"/>
              </w:rPr>
              <w:t>和中铝中州新材料科技有限公司</w:t>
            </w:r>
          </w:p>
        </w:tc>
      </w:tr>
    </w:tbl>
    <w:p>
      <w:pPr>
        <w:spacing w:line="360" w:lineRule="auto"/>
        <w:ind w:firstLine="480" w:firstLineChars="200"/>
        <w:jc w:val="left"/>
        <w:rPr>
          <w:rFonts w:ascii="宋体" w:hAnsi="宋体"/>
          <w:color w:val="000000"/>
          <w:sz w:val="24"/>
        </w:rPr>
      </w:pPr>
    </w:p>
    <w:p>
      <w:pPr>
        <w:tabs>
          <w:tab w:val="left" w:pos="720"/>
        </w:tabs>
        <w:spacing w:line="360" w:lineRule="auto"/>
        <w:ind w:firstLine="480" w:firstLineChars="200"/>
        <w:rPr>
          <w:rFonts w:ascii="宋体"/>
          <w:color w:val="000000"/>
          <w:sz w:val="24"/>
        </w:rPr>
      </w:pPr>
      <w:r>
        <w:rPr>
          <w:rFonts w:ascii="宋体" w:hAnsi="宋体"/>
          <w:color w:val="000000"/>
          <w:sz w:val="24"/>
        </w:rPr>
        <w:t>3</w:t>
      </w:r>
      <w:r>
        <w:rPr>
          <w:rFonts w:hint="eastAsia" w:ascii="宋体" w:hAnsi="宋体"/>
          <w:color w:val="000000"/>
          <w:sz w:val="24"/>
        </w:rPr>
        <w:t>、资金来源：企业自有资金。</w:t>
      </w:r>
    </w:p>
    <w:p>
      <w:pPr>
        <w:widowControl/>
        <w:shd w:val="clear" w:color="auto" w:fill="FFFFFF"/>
        <w:spacing w:line="360" w:lineRule="auto"/>
        <w:rPr>
          <w:rFonts w:ascii="宋体" w:hAnsi="宋体"/>
          <w:sz w:val="24"/>
        </w:rPr>
      </w:pPr>
      <w:r>
        <w:rPr>
          <w:rFonts w:hint="eastAsia" w:ascii="宋体" w:hAnsi="宋体"/>
          <w:sz w:val="24"/>
        </w:rPr>
        <w:t xml:space="preserve">    </w:t>
      </w:r>
      <w:r>
        <w:rPr>
          <w:rFonts w:ascii="宋体" w:hAnsi="宋体"/>
          <w:sz w:val="24"/>
        </w:rPr>
        <w:t>4</w:t>
      </w:r>
      <w:r>
        <w:rPr>
          <w:rFonts w:hint="eastAsia" w:ascii="宋体" w:hAnsi="宋体"/>
          <w:sz w:val="24"/>
        </w:rPr>
        <w:t>、服务商资格必须符合下列要求：</w:t>
      </w:r>
    </w:p>
    <w:p>
      <w:pPr>
        <w:spacing w:line="360" w:lineRule="auto"/>
        <w:ind w:firstLine="480" w:firstLineChars="200"/>
        <w:rPr>
          <w:rFonts w:hint="eastAsia" w:ascii="宋体" w:hAnsi="宋体" w:eastAsia="宋体" w:cs="Times New Roman"/>
          <w:sz w:val="24"/>
        </w:rPr>
      </w:pPr>
      <w:bookmarkStart w:id="3" w:name="OLE_LINK3"/>
      <w:r>
        <w:rPr>
          <w:rFonts w:hint="eastAsia" w:ascii="宋体" w:hAnsi="宋体"/>
          <w:sz w:val="24"/>
        </w:rPr>
        <w:t>4.1</w:t>
      </w:r>
      <w:r>
        <w:rPr>
          <w:rFonts w:hint="eastAsia" w:ascii="宋体" w:hAnsi="宋体" w:eastAsia="宋体" w:cs="Times New Roman"/>
          <w:sz w:val="24"/>
        </w:rPr>
        <w:t>在中华人民共和国</w:t>
      </w:r>
      <w:r>
        <w:rPr>
          <w:rFonts w:hint="eastAsia" w:ascii="宋体" w:hAnsi="宋体" w:eastAsia="宋体" w:cs="Times New Roman"/>
          <w:sz w:val="24"/>
          <w:lang w:eastAsia="zh-CN"/>
        </w:rPr>
        <w:t>境内</w:t>
      </w:r>
      <w:r>
        <w:rPr>
          <w:rFonts w:hint="eastAsia" w:ascii="宋体" w:hAnsi="宋体" w:eastAsia="宋体" w:cs="Times New Roman"/>
          <w:sz w:val="24"/>
        </w:rPr>
        <w:t>注册的、具有法人资格的有能力提供上述</w:t>
      </w:r>
      <w:r>
        <w:rPr>
          <w:rFonts w:hint="eastAsia" w:ascii="宋体" w:hAnsi="宋体" w:eastAsia="宋体" w:cs="Times New Roman"/>
          <w:sz w:val="24"/>
          <w:lang w:eastAsia="zh-CN"/>
        </w:rPr>
        <w:t>服务</w:t>
      </w:r>
      <w:r>
        <w:rPr>
          <w:rFonts w:hint="eastAsia" w:ascii="宋体" w:hAnsi="宋体" w:eastAsia="宋体" w:cs="Times New Roman"/>
          <w:sz w:val="24"/>
        </w:rPr>
        <w:t>的供应商。需提供企业法人营业执照、税务登记证、组织机构代码证或三证合一新证、银行开户许可证</w:t>
      </w:r>
      <w:r>
        <w:rPr>
          <w:rFonts w:hint="eastAsia" w:ascii="宋体" w:hAnsi="宋体" w:eastAsia="宋体" w:cs="Times New Roman"/>
          <w:sz w:val="24"/>
          <w:lang w:eastAsia="zh-CN"/>
        </w:rPr>
        <w:t>等相应的</w:t>
      </w:r>
      <w:r>
        <w:rPr>
          <w:rFonts w:hint="eastAsia" w:ascii="宋体" w:hAnsi="宋体" w:eastAsia="宋体" w:cs="Times New Roman"/>
          <w:sz w:val="24"/>
        </w:rPr>
        <w:t>资质证书</w:t>
      </w:r>
      <w:r>
        <w:rPr>
          <w:rFonts w:hint="eastAsia" w:ascii="宋体" w:hAnsi="宋体" w:eastAsia="宋体" w:cs="Times New Roman"/>
          <w:sz w:val="24"/>
          <w:lang w:eastAsia="zh-CN"/>
        </w:rPr>
        <w:t>等</w:t>
      </w:r>
      <w:r>
        <w:rPr>
          <w:rFonts w:hint="eastAsia" w:ascii="宋体" w:hAnsi="宋体" w:eastAsia="宋体" w:cs="Times New Roman"/>
          <w:sz w:val="24"/>
        </w:rPr>
        <w:t>。</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4.2</w:t>
      </w:r>
      <w:r>
        <w:rPr>
          <w:rFonts w:hint="default" w:ascii="宋体" w:hAnsi="宋体" w:eastAsia="宋体" w:cs="Times New Roman"/>
          <w:color w:val="auto"/>
          <w:sz w:val="24"/>
          <w:lang w:val="en-US" w:eastAsia="zh-CN"/>
        </w:rPr>
        <w:t>具有良好的财务状况，没有处于被责令停业、财产被接管、破产或其它关、停、并、转等状态，有足够的流动资金承担本项目的实施。提供近两年财务报表或承诺书。（成立时间少于规定年份的，提供成立以来的财务报表）</w:t>
      </w:r>
      <w:r>
        <w:rPr>
          <w:rFonts w:hint="eastAsia" w:ascii="宋体" w:hAnsi="宋体"/>
          <w:sz w:val="24"/>
        </w:rPr>
        <w:t>。</w:t>
      </w:r>
    </w:p>
    <w:p>
      <w:pPr>
        <w:widowControl/>
        <w:shd w:val="clear" w:color="auto" w:fill="FFFFFF"/>
        <w:spacing w:line="360" w:lineRule="auto"/>
        <w:ind w:firstLine="480" w:firstLineChars="200"/>
        <w:rPr>
          <w:rFonts w:ascii="宋体" w:hAnsi="宋体"/>
          <w:sz w:val="24"/>
        </w:rPr>
      </w:pPr>
      <w:r>
        <w:rPr>
          <w:rFonts w:hint="eastAsia" w:ascii="宋体" w:hAnsi="宋体"/>
          <w:sz w:val="24"/>
        </w:rPr>
        <w:t>4.3</w:t>
      </w:r>
      <w:r>
        <w:rPr>
          <w:rFonts w:hint="eastAsia" w:ascii="宋体" w:hAnsi="宋体" w:eastAsia="宋体" w:cs="Times New Roman"/>
          <w:color w:val="auto"/>
          <w:sz w:val="24"/>
          <w:lang w:val="en-US" w:eastAsia="zh-CN"/>
        </w:rPr>
        <w:t>具备相应的履约能力，近</w:t>
      </w:r>
      <w:r>
        <w:rPr>
          <w:rFonts w:hint="eastAsia" w:ascii="宋体" w:hAnsi="宋体" w:cs="Times New Roman"/>
          <w:color w:val="auto"/>
          <w:sz w:val="24"/>
          <w:lang w:val="en-US" w:eastAsia="zh-CN"/>
        </w:rPr>
        <w:t>二</w:t>
      </w:r>
      <w:r>
        <w:rPr>
          <w:rFonts w:hint="eastAsia" w:ascii="宋体" w:hAnsi="宋体" w:eastAsia="宋体" w:cs="Times New Roman"/>
          <w:color w:val="auto"/>
          <w:sz w:val="24"/>
          <w:lang w:val="en-US" w:eastAsia="zh-CN"/>
        </w:rPr>
        <w:t>年内参与并完成过相关业务不少于1项，</w:t>
      </w:r>
      <w:r>
        <w:rPr>
          <w:rFonts w:hint="default" w:ascii="宋体" w:hAnsi="宋体" w:eastAsia="宋体" w:cs="Times New Roman"/>
          <w:color w:val="auto"/>
          <w:sz w:val="24"/>
          <w:lang w:val="en-US" w:eastAsia="zh-CN"/>
        </w:rPr>
        <w:t>提供</w:t>
      </w:r>
      <w:r>
        <w:rPr>
          <w:rFonts w:hint="eastAsia" w:ascii="宋体" w:hAnsi="宋体" w:eastAsia="宋体" w:cs="Times New Roman"/>
          <w:color w:val="auto"/>
          <w:sz w:val="24"/>
          <w:lang w:val="en-US" w:eastAsia="zh-CN"/>
        </w:rPr>
        <w:t>中选（标）通知书或</w:t>
      </w:r>
      <w:r>
        <w:rPr>
          <w:rFonts w:hint="default" w:ascii="宋体" w:hAnsi="宋体" w:eastAsia="宋体" w:cs="Times New Roman"/>
          <w:color w:val="auto"/>
          <w:sz w:val="24"/>
          <w:lang w:val="en-US" w:eastAsia="zh-CN"/>
        </w:rPr>
        <w:t>合同</w:t>
      </w:r>
      <w:r>
        <w:rPr>
          <w:rFonts w:hint="eastAsia" w:ascii="宋体" w:hAnsi="宋体" w:eastAsia="宋体" w:cs="Times New Roman"/>
          <w:color w:val="auto"/>
          <w:sz w:val="24"/>
          <w:lang w:val="en-US" w:eastAsia="zh-CN"/>
        </w:rPr>
        <w:t>（首页、双方签署页以及合同关键页）或验收证明</w:t>
      </w:r>
      <w:r>
        <w:rPr>
          <w:rFonts w:hint="eastAsia" w:ascii="宋体" w:hAnsi="宋体" w:cs="Times New Roman"/>
          <w:color w:val="auto"/>
          <w:sz w:val="24"/>
          <w:lang w:val="en-US" w:eastAsia="zh-CN"/>
        </w:rPr>
        <w:t>扫描</w:t>
      </w:r>
      <w:r>
        <w:rPr>
          <w:rFonts w:hint="eastAsia" w:ascii="宋体" w:hAnsi="宋体" w:eastAsia="宋体" w:cs="Times New Roman"/>
          <w:color w:val="auto"/>
          <w:sz w:val="24"/>
          <w:lang w:val="en-US" w:eastAsia="zh-CN"/>
        </w:rPr>
        <w:t>件，</w:t>
      </w:r>
      <w:r>
        <w:rPr>
          <w:rFonts w:hint="default" w:ascii="宋体" w:hAnsi="宋体" w:eastAsia="宋体" w:cs="Times New Roman"/>
          <w:color w:val="auto"/>
          <w:sz w:val="24"/>
          <w:lang w:val="en-US" w:eastAsia="zh-CN"/>
        </w:rPr>
        <w:t>以签署日期为准。</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4.4</w:t>
      </w:r>
      <w:r>
        <w:rPr>
          <w:rFonts w:hint="eastAsia" w:ascii="宋体" w:hAnsi="宋体" w:eastAsia="宋体" w:cs="Times New Roman"/>
          <w:color w:val="auto"/>
          <w:sz w:val="24"/>
          <w:lang w:val="en-US" w:eastAsia="zh-CN"/>
        </w:rPr>
        <w:t>报价人有依法缴纳税收和社会保障资金的良好记录，参加本次采购前三年内，在经营活动中没有重大违法记录，未发生重大质量、环境、安全事故，并出具承诺书。</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4.5</w:t>
      </w:r>
      <w:r>
        <w:rPr>
          <w:rFonts w:hint="eastAsia" w:ascii="宋体" w:hAnsi="宋体" w:cs="Times New Roman"/>
          <w:color w:val="auto"/>
          <w:sz w:val="24"/>
          <w:lang w:val="en-US" w:eastAsia="zh-CN"/>
        </w:rPr>
        <w:t>报价</w:t>
      </w:r>
      <w:r>
        <w:rPr>
          <w:rFonts w:hint="eastAsia" w:ascii="宋体" w:hAnsi="宋体" w:eastAsia="宋体" w:cs="Times New Roman"/>
          <w:color w:val="auto"/>
          <w:sz w:val="24"/>
          <w:lang w:val="en-US" w:eastAsia="zh-CN"/>
        </w:rPr>
        <w:t>人在项目评审期间不存在被列为失信被执行人的情形，具体认定以全国法院失信被执行人名单信息公布与查询网(http://zxgk.court.gov.cn/)和信用中国(https://www.creditchina.gov.cn/）网站检索结果为准</w:t>
      </w:r>
      <w:r>
        <w:rPr>
          <w:rFonts w:hint="eastAsia" w:ascii="宋体" w:hAnsi="宋体"/>
          <w:sz w:val="24"/>
        </w:rPr>
        <w:t>。</w:t>
      </w:r>
    </w:p>
    <w:p>
      <w:pPr>
        <w:adjustRightInd w:val="0"/>
        <w:snapToGrid w:val="0"/>
        <w:spacing w:line="360" w:lineRule="auto"/>
        <w:ind w:firstLine="480" w:firstLineChars="200"/>
        <w:contextualSpacing/>
        <w:rPr>
          <w:rFonts w:ascii="宋体" w:hAnsi="宋体"/>
          <w:sz w:val="24"/>
        </w:rPr>
      </w:pPr>
      <w:r>
        <w:rPr>
          <w:rFonts w:hint="eastAsia" w:ascii="宋体" w:hAnsi="宋体"/>
          <w:sz w:val="24"/>
        </w:rPr>
        <w:t>4.6</w:t>
      </w:r>
      <w:r>
        <w:rPr>
          <w:rFonts w:hint="eastAsia" w:ascii="宋体" w:hAnsi="宋体" w:eastAsia="宋体" w:cs="Times New Roman"/>
          <w:color w:val="auto"/>
          <w:sz w:val="24"/>
          <w:lang w:val="en-US" w:eastAsia="zh-CN"/>
        </w:rPr>
        <w:t>在报名期间和报价有效期内未被列入中国铝业集团有限公司各级承包商负面清单。</w:t>
      </w:r>
    </w:p>
    <w:p>
      <w:pPr>
        <w:adjustRightInd w:val="0"/>
        <w:snapToGrid w:val="0"/>
        <w:spacing w:line="360" w:lineRule="auto"/>
        <w:ind w:firstLine="480" w:firstLineChars="200"/>
        <w:contextualSpacing/>
        <w:rPr>
          <w:rFonts w:ascii="宋体" w:hAnsi="宋体"/>
          <w:sz w:val="24"/>
        </w:rPr>
      </w:pPr>
      <w:r>
        <w:rPr>
          <w:rFonts w:hint="eastAsia" w:ascii="宋体" w:hAnsi="宋体" w:eastAsia="宋体" w:cs="Times New Roman"/>
          <w:color w:val="auto"/>
          <w:sz w:val="24"/>
          <w:lang w:val="en-US" w:eastAsia="zh-CN"/>
        </w:rPr>
        <w:t>4.7本次采购活动不接受联合体报价</w:t>
      </w:r>
      <w:r>
        <w:rPr>
          <w:rFonts w:hint="eastAsia" w:ascii="宋体" w:hAnsi="宋体"/>
          <w:sz w:val="24"/>
        </w:rPr>
        <w:t>。</w:t>
      </w:r>
    </w:p>
    <w:bookmarkEnd w:id="3"/>
    <w:p>
      <w:pPr>
        <w:tabs>
          <w:tab w:val="left" w:pos="720"/>
        </w:tabs>
        <w:spacing w:line="500" w:lineRule="exact"/>
        <w:rPr>
          <w:rFonts w:hAnsi="宋体"/>
          <w:sz w:val="24"/>
          <w:szCs w:val="20"/>
        </w:rPr>
      </w:pPr>
      <w:r>
        <w:rPr>
          <w:rFonts w:hint="eastAsia" w:hAnsi="宋体"/>
          <w:sz w:val="24"/>
          <w:szCs w:val="20"/>
        </w:rPr>
        <w:t xml:space="preserve">   5、报价要求：本次采购设置单项最高限价，按优惠率进行报价，结算按照实际工作量结算。</w:t>
      </w:r>
    </w:p>
    <w:p>
      <w:pPr>
        <w:spacing w:line="360" w:lineRule="auto"/>
        <w:jc w:val="center"/>
        <w:rPr>
          <w:rFonts w:hint="eastAsia" w:ascii="宋体" w:hAnsi="宋体"/>
          <w:snapToGrid w:val="0"/>
          <w:color w:val="FF0000"/>
          <w:kern w:val="0"/>
          <w:szCs w:val="21"/>
        </w:rPr>
      </w:pPr>
      <w:r>
        <w:rPr>
          <w:rFonts w:hint="eastAsia" w:ascii="宋体" w:hAnsi="宋体"/>
          <w:snapToGrid w:val="0"/>
          <w:color w:val="FF0000"/>
          <w:kern w:val="0"/>
          <w:szCs w:val="21"/>
          <w:lang w:eastAsia="zh-CN"/>
        </w:rPr>
        <w:t>生产管控中心</w:t>
      </w:r>
      <w:r>
        <w:rPr>
          <w:rFonts w:hint="eastAsia" w:ascii="宋体" w:hAnsi="宋体"/>
          <w:snapToGrid w:val="0"/>
          <w:color w:val="FF0000"/>
          <w:kern w:val="0"/>
          <w:szCs w:val="21"/>
        </w:rPr>
        <w:t>项目明细及</w:t>
      </w:r>
      <w:r>
        <w:rPr>
          <w:rFonts w:hint="eastAsia" w:ascii="宋体" w:hAnsi="宋体"/>
          <w:snapToGrid w:val="0"/>
          <w:color w:val="FF0000"/>
          <w:kern w:val="0"/>
          <w:szCs w:val="21"/>
          <w:lang w:eastAsia="zh-CN"/>
        </w:rPr>
        <w:t>采购限</w:t>
      </w:r>
      <w:r>
        <w:rPr>
          <w:rFonts w:hint="eastAsia" w:ascii="宋体" w:hAnsi="宋体"/>
          <w:snapToGrid w:val="0"/>
          <w:color w:val="FF0000"/>
          <w:kern w:val="0"/>
          <w:szCs w:val="21"/>
        </w:rPr>
        <w:t>价</w:t>
      </w:r>
    </w:p>
    <w:p>
      <w:pPr>
        <w:pStyle w:val="34"/>
        <w:ind w:firstLine="6300" w:firstLineChars="3000"/>
      </w:pPr>
      <w:r>
        <w:rPr>
          <w:rFonts w:hint="eastAsia" w:ascii="宋体" w:hAnsi="宋体" w:eastAsia="宋体" w:cs="宋体"/>
          <w:color w:val="000000"/>
          <w:szCs w:val="21"/>
          <w:lang w:eastAsia="zh-CN"/>
        </w:rPr>
        <w:t>最高限价</w:t>
      </w:r>
      <w:r>
        <w:rPr>
          <w:rFonts w:hint="eastAsia" w:ascii="宋体" w:hAnsi="宋体" w:eastAsia="宋体" w:cs="宋体"/>
          <w:szCs w:val="21"/>
          <w:lang w:eastAsia="zh-CN"/>
        </w:rPr>
        <w:t>单位：元</w:t>
      </w:r>
    </w:p>
    <w:tbl>
      <w:tblPr>
        <w:tblStyle w:val="35"/>
        <w:tblW w:w="8657" w:type="dxa"/>
        <w:jc w:val="center"/>
        <w:tblLayout w:type="autofit"/>
        <w:tblCellMar>
          <w:top w:w="0" w:type="dxa"/>
          <w:left w:w="108" w:type="dxa"/>
          <w:bottom w:w="0" w:type="dxa"/>
          <w:right w:w="108" w:type="dxa"/>
        </w:tblCellMar>
      </w:tblPr>
      <w:tblGrid>
        <w:gridCol w:w="685"/>
        <w:gridCol w:w="655"/>
        <w:gridCol w:w="2923"/>
        <w:gridCol w:w="283"/>
        <w:gridCol w:w="709"/>
        <w:gridCol w:w="284"/>
        <w:gridCol w:w="1984"/>
        <w:gridCol w:w="1134"/>
      </w:tblGrid>
      <w:tr>
        <w:tblPrEx>
          <w:tblCellMar>
            <w:top w:w="0" w:type="dxa"/>
            <w:left w:w="108" w:type="dxa"/>
            <w:bottom w:w="0" w:type="dxa"/>
            <w:right w:w="108" w:type="dxa"/>
          </w:tblCellMar>
        </w:tblPrEx>
        <w:trPr>
          <w:trHeight w:val="270" w:hRule="atLeast"/>
          <w:jc w:val="center"/>
        </w:trPr>
        <w:tc>
          <w:tcPr>
            <w:tcW w:w="1340" w:type="dxa"/>
            <w:gridSpan w:val="2"/>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923" w:type="dxa"/>
            <w:tcBorders>
              <w:top w:val="single" w:color="auto" w:sz="4" w:space="0"/>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w:t>
            </w:r>
          </w:p>
        </w:tc>
        <w:tc>
          <w:tcPr>
            <w:tcW w:w="992" w:type="dxa"/>
            <w:gridSpan w:val="2"/>
            <w:tcBorders>
              <w:top w:val="single" w:color="auto" w:sz="4" w:space="0"/>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2268" w:type="dxa"/>
            <w:gridSpan w:val="2"/>
            <w:tcBorders>
              <w:top w:val="single" w:color="auto" w:sz="4" w:space="0"/>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最高限价（元）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923"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调配小槽清理（3-7#槽）</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2509</w:t>
            </w:r>
          </w:p>
        </w:tc>
        <w:tc>
          <w:tcPr>
            <w:tcW w:w="113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cs="宋体"/>
                <w:color w:val="000000"/>
                <w:kern w:val="0"/>
                <w:szCs w:val="21"/>
                <w:lang w:eastAsia="zh-CN"/>
              </w:rPr>
              <w:t>原料</w:t>
            </w:r>
            <w:r>
              <w:rPr>
                <w:rFonts w:hint="eastAsia" w:ascii="宋体" w:hAnsi="宋体" w:eastAsia="宋体" w:cs="宋体"/>
                <w:color w:val="000000"/>
                <w:kern w:val="0"/>
                <w:szCs w:val="21"/>
              </w:rPr>
              <w:t>区域</w:t>
            </w: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923"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调配大槽清理（8-10#槽）</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5019</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923"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新调配配料槽清理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1214</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923"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磨机饲料器清理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647</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923"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磨机旋流器结疤清理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485</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923"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浮选机半月槽清理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323</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2923" w:type="dxa"/>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药台缓冲箱</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972</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闪蒸槽槽底清理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1052</w:t>
            </w:r>
          </w:p>
        </w:tc>
        <w:tc>
          <w:tcPr>
            <w:tcW w:w="1134" w:type="dxa"/>
            <w:vMerge w:val="restart"/>
            <w:tcBorders>
              <w:top w:val="nil"/>
              <w:left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溶出区域</w:t>
            </w: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闪蒸槽槽壁清理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3886</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低温拜耳法溶出器罐底清理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1781</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85"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低温拜耳法溶出器槽壁清理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4208</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高温溶出器罐底清理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1052</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高温溶出器槽壁清理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3480</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稀释槽槽底清理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2024</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热水槽槽底清理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1052</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污水槽槽底清理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809</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洗水加热器罐底清理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809</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洗水加热器槽壁清理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2024</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回转筛清理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243</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清理预脱硅槽</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2428</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0#--4#后槽清理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2428</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5#后槽清理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4046</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沉降平底槽清理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5989</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一线深锥槽清理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21852</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二线一洗二洗槽清理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56655</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二线三洗四洗五洗槽清理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23472</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二线六洗七洗槽清理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60702</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水力混合槽清理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753</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0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进料管混合器清理（含混合器沉淀结疤清理）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406</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针形槽清理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2428</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静态混合器清理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485</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闪蒸槽汽液分离器清理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3237</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稀释槽冒槽管口清理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406</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污酸槽清理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1214</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稀酸槽清理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1618</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36</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碱液槽</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4857</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37</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絮凝剂水槽清理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972</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38</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深锥槽开大盖</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365</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39</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赤泥结疤返流程</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17</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40</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33</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平底槽开人孔去清理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243</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15"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41</w:t>
            </w:r>
          </w:p>
        </w:tc>
        <w:tc>
          <w:tcPr>
            <w:tcW w:w="655"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w:t>
            </w:r>
          </w:p>
        </w:tc>
        <w:tc>
          <w:tcPr>
            <w:tcW w:w="2923" w:type="dxa"/>
            <w:tcBorders>
              <w:top w:val="nil"/>
              <w:left w:val="nil"/>
              <w:bottom w:val="single" w:color="auto" w:sz="4" w:space="0"/>
              <w:right w:val="single" w:color="auto" w:sz="4" w:space="0"/>
            </w:tcBorders>
            <w:noWrap/>
            <w:vAlign w:val="bottom"/>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机组各效开、封大帽</w:t>
            </w:r>
          </w:p>
        </w:tc>
        <w:tc>
          <w:tcPr>
            <w:tcW w:w="992" w:type="dxa"/>
            <w:gridSpan w:val="2"/>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组</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1214</w:t>
            </w:r>
          </w:p>
        </w:tc>
        <w:tc>
          <w:tcPr>
            <w:tcW w:w="1134" w:type="dxa"/>
            <w:vMerge w:val="continue"/>
            <w:tcBorders>
              <w:left w:val="single" w:color="auto" w:sz="4" w:space="0"/>
              <w:right w:val="single" w:color="auto" w:sz="4" w:space="0"/>
            </w:tcBorders>
            <w:noWrap/>
            <w:vAlign w:val="center"/>
          </w:tcPr>
          <w:p>
            <w:pPr>
              <w:widowControl/>
              <w:jc w:val="center"/>
              <w:rPr>
                <w:rFonts w:hint="eastAsia" w:ascii="宋体" w:hAnsi="宋体" w:cs="宋体"/>
                <w:color w:val="000000"/>
                <w:kern w:val="0"/>
                <w:szCs w:val="21"/>
                <w:lang w:eastAsia="zh-CN"/>
              </w:rPr>
            </w:pPr>
          </w:p>
        </w:tc>
      </w:tr>
      <w:tr>
        <w:tblPrEx>
          <w:tblCellMar>
            <w:top w:w="0" w:type="dxa"/>
            <w:left w:w="108" w:type="dxa"/>
            <w:bottom w:w="0" w:type="dxa"/>
            <w:right w:w="108" w:type="dxa"/>
          </w:tblCellMar>
        </w:tblPrEx>
        <w:trPr>
          <w:trHeight w:val="315"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42</w:t>
            </w:r>
          </w:p>
        </w:tc>
        <w:tc>
          <w:tcPr>
            <w:tcW w:w="655"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2</w:t>
            </w:r>
          </w:p>
        </w:tc>
        <w:tc>
          <w:tcPr>
            <w:tcW w:w="2923" w:type="dxa"/>
            <w:tcBorders>
              <w:top w:val="nil"/>
              <w:left w:val="nil"/>
              <w:bottom w:val="single" w:color="auto" w:sz="4" w:space="0"/>
              <w:right w:val="single" w:color="auto" w:sz="4" w:space="0"/>
            </w:tcBorders>
            <w:noWrap/>
            <w:vAlign w:val="bottom"/>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原、母液槽清理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4046</w:t>
            </w:r>
          </w:p>
        </w:tc>
        <w:tc>
          <w:tcPr>
            <w:tcW w:w="1134" w:type="dxa"/>
            <w:vMerge w:val="continue"/>
            <w:tcBorders>
              <w:left w:val="single" w:color="auto" w:sz="4" w:space="0"/>
              <w:right w:val="single" w:color="auto" w:sz="4" w:space="0"/>
            </w:tcBorders>
            <w:noWrap/>
            <w:vAlign w:val="center"/>
          </w:tcPr>
          <w:p>
            <w:pPr>
              <w:widowControl/>
              <w:jc w:val="center"/>
              <w:rPr>
                <w:rFonts w:hint="eastAsia" w:ascii="宋体" w:hAnsi="宋体" w:cs="宋体"/>
                <w:color w:val="000000"/>
                <w:kern w:val="0"/>
                <w:szCs w:val="21"/>
                <w:lang w:eastAsia="zh-CN"/>
              </w:rPr>
            </w:pPr>
          </w:p>
        </w:tc>
      </w:tr>
      <w:tr>
        <w:tblPrEx>
          <w:tblCellMar>
            <w:top w:w="0" w:type="dxa"/>
            <w:left w:w="108" w:type="dxa"/>
            <w:bottom w:w="0" w:type="dxa"/>
            <w:right w:w="108" w:type="dxa"/>
          </w:tblCellMar>
        </w:tblPrEx>
        <w:trPr>
          <w:trHeight w:val="315"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43</w:t>
            </w:r>
          </w:p>
        </w:tc>
        <w:tc>
          <w:tcPr>
            <w:tcW w:w="655"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3</w:t>
            </w:r>
          </w:p>
        </w:tc>
        <w:tc>
          <w:tcPr>
            <w:tcW w:w="2923" w:type="dxa"/>
            <w:tcBorders>
              <w:top w:val="nil"/>
              <w:left w:val="nil"/>
              <w:bottom w:val="single" w:color="auto" w:sz="4" w:space="0"/>
              <w:right w:val="single" w:color="auto" w:sz="4" w:space="0"/>
            </w:tcBorders>
            <w:noWrap/>
            <w:vAlign w:val="bottom"/>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机组单开大帽</w:t>
            </w:r>
          </w:p>
        </w:tc>
        <w:tc>
          <w:tcPr>
            <w:tcW w:w="992" w:type="dxa"/>
            <w:gridSpan w:val="2"/>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效</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809</w:t>
            </w:r>
          </w:p>
        </w:tc>
        <w:tc>
          <w:tcPr>
            <w:tcW w:w="1134" w:type="dxa"/>
            <w:vMerge w:val="continue"/>
            <w:tcBorders>
              <w:left w:val="single" w:color="auto" w:sz="4" w:space="0"/>
              <w:right w:val="single" w:color="auto" w:sz="4" w:space="0"/>
            </w:tcBorders>
            <w:noWrap/>
            <w:vAlign w:val="center"/>
          </w:tcPr>
          <w:p>
            <w:pPr>
              <w:widowControl/>
              <w:jc w:val="center"/>
              <w:rPr>
                <w:rFonts w:hint="eastAsia" w:ascii="宋体" w:hAnsi="宋体" w:cs="宋体"/>
                <w:color w:val="000000"/>
                <w:kern w:val="0"/>
                <w:szCs w:val="21"/>
                <w:lang w:eastAsia="zh-CN"/>
              </w:rPr>
            </w:pPr>
          </w:p>
        </w:tc>
      </w:tr>
      <w:tr>
        <w:tblPrEx>
          <w:tblCellMar>
            <w:top w:w="0" w:type="dxa"/>
            <w:left w:w="108" w:type="dxa"/>
            <w:bottom w:w="0" w:type="dxa"/>
            <w:right w:w="108" w:type="dxa"/>
          </w:tblCellMar>
        </w:tblPrEx>
        <w:trPr>
          <w:trHeight w:val="315"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44</w:t>
            </w:r>
          </w:p>
        </w:tc>
        <w:tc>
          <w:tcPr>
            <w:tcW w:w="655"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4</w:t>
            </w:r>
          </w:p>
        </w:tc>
        <w:tc>
          <w:tcPr>
            <w:tcW w:w="2923" w:type="dxa"/>
            <w:tcBorders>
              <w:top w:val="nil"/>
              <w:left w:val="nil"/>
              <w:bottom w:val="single" w:color="auto" w:sz="4" w:space="0"/>
              <w:right w:val="single" w:color="auto" w:sz="4" w:space="0"/>
            </w:tcBorders>
            <w:noWrap/>
            <w:vAlign w:val="bottom"/>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机组当天单封大帽</w:t>
            </w:r>
          </w:p>
        </w:tc>
        <w:tc>
          <w:tcPr>
            <w:tcW w:w="992" w:type="dxa"/>
            <w:gridSpan w:val="2"/>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效</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809</w:t>
            </w:r>
          </w:p>
        </w:tc>
        <w:tc>
          <w:tcPr>
            <w:tcW w:w="1134" w:type="dxa"/>
            <w:vMerge w:val="continue"/>
            <w:tcBorders>
              <w:left w:val="single" w:color="auto" w:sz="4" w:space="0"/>
              <w:right w:val="single" w:color="auto" w:sz="4" w:space="0"/>
            </w:tcBorders>
            <w:noWrap/>
            <w:vAlign w:val="center"/>
          </w:tcPr>
          <w:p>
            <w:pPr>
              <w:widowControl/>
              <w:jc w:val="center"/>
              <w:rPr>
                <w:rFonts w:hint="eastAsia" w:ascii="宋体" w:hAnsi="宋体" w:cs="宋体"/>
                <w:color w:val="000000"/>
                <w:kern w:val="0"/>
                <w:szCs w:val="21"/>
                <w:lang w:eastAsia="zh-CN"/>
              </w:rPr>
            </w:pPr>
          </w:p>
        </w:tc>
      </w:tr>
      <w:tr>
        <w:tblPrEx>
          <w:tblCellMar>
            <w:top w:w="0" w:type="dxa"/>
            <w:left w:w="108" w:type="dxa"/>
            <w:bottom w:w="0" w:type="dxa"/>
            <w:right w:w="108" w:type="dxa"/>
          </w:tblCellMar>
        </w:tblPrEx>
        <w:trPr>
          <w:trHeight w:val="315"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45</w:t>
            </w:r>
          </w:p>
        </w:tc>
        <w:tc>
          <w:tcPr>
            <w:tcW w:w="655"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5</w:t>
            </w:r>
          </w:p>
        </w:tc>
        <w:tc>
          <w:tcPr>
            <w:tcW w:w="2923" w:type="dxa"/>
            <w:tcBorders>
              <w:top w:val="nil"/>
              <w:left w:val="nil"/>
              <w:bottom w:val="single" w:color="auto" w:sz="4" w:space="0"/>
              <w:right w:val="single" w:color="auto" w:sz="4" w:space="0"/>
            </w:tcBorders>
            <w:noWrap/>
            <w:vAlign w:val="bottom"/>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开封人孔</w:t>
            </w:r>
          </w:p>
        </w:tc>
        <w:tc>
          <w:tcPr>
            <w:tcW w:w="992" w:type="dxa"/>
            <w:gridSpan w:val="2"/>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个</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134" w:type="dxa"/>
            <w:vMerge w:val="continue"/>
            <w:tcBorders>
              <w:left w:val="single" w:color="auto" w:sz="4" w:space="0"/>
              <w:right w:val="single" w:color="auto" w:sz="4" w:space="0"/>
            </w:tcBorders>
            <w:noWrap/>
            <w:vAlign w:val="center"/>
          </w:tcPr>
          <w:p>
            <w:pPr>
              <w:widowControl/>
              <w:jc w:val="center"/>
              <w:rPr>
                <w:rFonts w:hint="eastAsia" w:ascii="宋体" w:hAnsi="宋体" w:cs="宋体"/>
                <w:color w:val="000000"/>
                <w:kern w:val="0"/>
                <w:szCs w:val="21"/>
                <w:lang w:eastAsia="zh-CN"/>
              </w:rPr>
            </w:pPr>
          </w:p>
        </w:tc>
      </w:tr>
      <w:tr>
        <w:tblPrEx>
          <w:tblCellMar>
            <w:top w:w="0" w:type="dxa"/>
            <w:left w:w="108" w:type="dxa"/>
            <w:bottom w:w="0" w:type="dxa"/>
            <w:right w:w="108" w:type="dxa"/>
          </w:tblCellMar>
        </w:tblPrEx>
        <w:trPr>
          <w:trHeight w:val="315"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46</w:t>
            </w:r>
          </w:p>
        </w:tc>
        <w:tc>
          <w:tcPr>
            <w:tcW w:w="655"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6</w:t>
            </w:r>
          </w:p>
        </w:tc>
        <w:tc>
          <w:tcPr>
            <w:tcW w:w="2923" w:type="dxa"/>
            <w:tcBorders>
              <w:top w:val="nil"/>
              <w:left w:val="nil"/>
              <w:bottom w:val="single" w:color="auto" w:sz="4" w:space="0"/>
              <w:right w:val="single" w:color="auto" w:sz="4" w:space="0"/>
            </w:tcBorders>
            <w:noWrap/>
            <w:vAlign w:val="bottom"/>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滤饼槽隔离</w:t>
            </w:r>
          </w:p>
        </w:tc>
        <w:tc>
          <w:tcPr>
            <w:tcW w:w="992" w:type="dxa"/>
            <w:gridSpan w:val="2"/>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w:t>
            </w:r>
          </w:p>
        </w:tc>
        <w:tc>
          <w:tcPr>
            <w:tcW w:w="1134" w:type="dxa"/>
            <w:vMerge w:val="continue"/>
            <w:tcBorders>
              <w:left w:val="single" w:color="auto" w:sz="4" w:space="0"/>
              <w:right w:val="single" w:color="auto" w:sz="4" w:space="0"/>
            </w:tcBorders>
            <w:noWrap/>
            <w:vAlign w:val="center"/>
          </w:tcPr>
          <w:p>
            <w:pPr>
              <w:widowControl/>
              <w:jc w:val="center"/>
              <w:rPr>
                <w:rFonts w:hint="eastAsia" w:ascii="宋体" w:hAnsi="宋体" w:cs="宋体"/>
                <w:color w:val="000000"/>
                <w:kern w:val="0"/>
                <w:szCs w:val="21"/>
                <w:lang w:eastAsia="zh-CN"/>
              </w:rPr>
            </w:pPr>
          </w:p>
        </w:tc>
      </w:tr>
      <w:tr>
        <w:tblPrEx>
          <w:tblCellMar>
            <w:top w:w="0" w:type="dxa"/>
            <w:left w:w="108" w:type="dxa"/>
            <w:bottom w:w="0" w:type="dxa"/>
            <w:right w:w="108" w:type="dxa"/>
          </w:tblCellMar>
        </w:tblPrEx>
        <w:trPr>
          <w:trHeight w:val="315"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47</w:t>
            </w:r>
          </w:p>
        </w:tc>
        <w:tc>
          <w:tcPr>
            <w:tcW w:w="655"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7</w:t>
            </w:r>
          </w:p>
        </w:tc>
        <w:tc>
          <w:tcPr>
            <w:tcW w:w="2923" w:type="dxa"/>
            <w:tcBorders>
              <w:top w:val="nil"/>
              <w:left w:val="nil"/>
              <w:bottom w:val="single" w:color="auto" w:sz="4" w:space="0"/>
              <w:right w:val="single" w:color="auto" w:sz="4" w:space="0"/>
            </w:tcBorders>
            <w:noWrap/>
            <w:vAlign w:val="bottom"/>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雾膜分离器更换</w:t>
            </w:r>
          </w:p>
        </w:tc>
        <w:tc>
          <w:tcPr>
            <w:tcW w:w="992" w:type="dxa"/>
            <w:gridSpan w:val="2"/>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个</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w:t>
            </w:r>
          </w:p>
        </w:tc>
        <w:tc>
          <w:tcPr>
            <w:tcW w:w="1134" w:type="dxa"/>
            <w:vMerge w:val="continue"/>
            <w:tcBorders>
              <w:left w:val="single" w:color="auto" w:sz="4" w:space="0"/>
              <w:right w:val="single" w:color="auto" w:sz="4" w:space="0"/>
            </w:tcBorders>
            <w:noWrap/>
            <w:vAlign w:val="center"/>
          </w:tcPr>
          <w:p>
            <w:pPr>
              <w:widowControl/>
              <w:jc w:val="center"/>
              <w:rPr>
                <w:rFonts w:hint="eastAsia" w:ascii="宋体" w:hAnsi="宋体" w:cs="宋体"/>
                <w:color w:val="000000"/>
                <w:kern w:val="0"/>
                <w:szCs w:val="21"/>
                <w:lang w:eastAsia="zh-CN"/>
              </w:rPr>
            </w:pPr>
          </w:p>
        </w:tc>
      </w:tr>
      <w:tr>
        <w:tblPrEx>
          <w:tblCellMar>
            <w:top w:w="0" w:type="dxa"/>
            <w:left w:w="108" w:type="dxa"/>
            <w:bottom w:w="0" w:type="dxa"/>
            <w:right w:w="108" w:type="dxa"/>
          </w:tblCellMar>
        </w:tblPrEx>
        <w:trPr>
          <w:trHeight w:val="315"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48</w:t>
            </w:r>
          </w:p>
        </w:tc>
        <w:tc>
          <w:tcPr>
            <w:tcW w:w="655"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8</w:t>
            </w:r>
          </w:p>
        </w:tc>
        <w:tc>
          <w:tcPr>
            <w:tcW w:w="2923" w:type="dxa"/>
            <w:tcBorders>
              <w:top w:val="nil"/>
              <w:left w:val="nil"/>
              <w:bottom w:val="single" w:color="auto" w:sz="4" w:space="0"/>
              <w:right w:val="single" w:color="auto" w:sz="4" w:space="0"/>
            </w:tcBorders>
            <w:noWrap/>
            <w:vAlign w:val="bottom"/>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蒸发器闪蒸清理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1618</w:t>
            </w:r>
          </w:p>
        </w:tc>
        <w:tc>
          <w:tcPr>
            <w:tcW w:w="1134" w:type="dxa"/>
            <w:vMerge w:val="continue"/>
            <w:tcBorders>
              <w:left w:val="single" w:color="auto" w:sz="4" w:space="0"/>
              <w:right w:val="single" w:color="auto" w:sz="4" w:space="0"/>
            </w:tcBorders>
            <w:noWrap/>
            <w:vAlign w:val="center"/>
          </w:tcPr>
          <w:p>
            <w:pPr>
              <w:widowControl/>
              <w:jc w:val="center"/>
              <w:rPr>
                <w:rFonts w:hint="eastAsia" w:ascii="宋体" w:hAnsi="宋体" w:cs="宋体"/>
                <w:color w:val="000000"/>
                <w:kern w:val="0"/>
                <w:szCs w:val="21"/>
                <w:lang w:eastAsia="zh-CN"/>
              </w:rPr>
            </w:pPr>
          </w:p>
        </w:tc>
      </w:tr>
      <w:tr>
        <w:tblPrEx>
          <w:tblCellMar>
            <w:top w:w="0" w:type="dxa"/>
            <w:left w:w="108" w:type="dxa"/>
            <w:bottom w:w="0" w:type="dxa"/>
            <w:right w:w="108" w:type="dxa"/>
          </w:tblCellMar>
        </w:tblPrEx>
        <w:trPr>
          <w:trHeight w:val="315"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49</w:t>
            </w:r>
          </w:p>
        </w:tc>
        <w:tc>
          <w:tcPr>
            <w:tcW w:w="655"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9</w:t>
            </w:r>
          </w:p>
        </w:tc>
        <w:tc>
          <w:tcPr>
            <w:tcW w:w="2923" w:type="dxa"/>
            <w:tcBorders>
              <w:top w:val="nil"/>
              <w:left w:val="nil"/>
              <w:bottom w:val="single" w:color="auto" w:sz="4" w:space="0"/>
              <w:right w:val="single" w:color="auto" w:sz="4" w:space="0"/>
            </w:tcBorders>
            <w:noWrap/>
            <w:vAlign w:val="bottom"/>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闪蒸下封头换垫子</w:t>
            </w:r>
          </w:p>
        </w:tc>
        <w:tc>
          <w:tcPr>
            <w:tcW w:w="992" w:type="dxa"/>
            <w:gridSpan w:val="2"/>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1214</w:t>
            </w:r>
          </w:p>
        </w:tc>
        <w:tc>
          <w:tcPr>
            <w:tcW w:w="1134" w:type="dxa"/>
            <w:vMerge w:val="continue"/>
            <w:tcBorders>
              <w:left w:val="single" w:color="auto" w:sz="4" w:space="0"/>
              <w:right w:val="single" w:color="auto" w:sz="4" w:space="0"/>
            </w:tcBorders>
            <w:noWrap/>
            <w:vAlign w:val="center"/>
          </w:tcPr>
          <w:p>
            <w:pPr>
              <w:widowControl/>
              <w:jc w:val="center"/>
              <w:rPr>
                <w:rFonts w:hint="eastAsia" w:ascii="宋体" w:hAnsi="宋体" w:cs="宋体"/>
                <w:color w:val="000000"/>
                <w:kern w:val="0"/>
                <w:szCs w:val="21"/>
                <w:lang w:eastAsia="zh-CN"/>
              </w:rPr>
            </w:pPr>
          </w:p>
        </w:tc>
      </w:tr>
      <w:tr>
        <w:tblPrEx>
          <w:tblCellMar>
            <w:top w:w="0" w:type="dxa"/>
            <w:left w:w="108" w:type="dxa"/>
            <w:bottom w:w="0" w:type="dxa"/>
            <w:right w:w="108" w:type="dxa"/>
          </w:tblCellMar>
        </w:tblPrEx>
        <w:trPr>
          <w:trHeight w:val="315"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50</w:t>
            </w:r>
          </w:p>
        </w:tc>
        <w:tc>
          <w:tcPr>
            <w:tcW w:w="655"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c>
          <w:tcPr>
            <w:tcW w:w="2923" w:type="dxa"/>
            <w:tcBorders>
              <w:top w:val="nil"/>
              <w:left w:val="nil"/>
              <w:bottom w:val="single" w:color="auto" w:sz="4" w:space="0"/>
              <w:right w:val="single" w:color="auto" w:sz="4" w:space="0"/>
            </w:tcBorders>
            <w:noWrap/>
            <w:vAlign w:val="bottom"/>
          </w:tcPr>
          <w:p>
            <w:pPr>
              <w:widowControl/>
              <w:rPr>
                <w:rFonts w:hint="eastAsia" w:ascii="宋体" w:hAnsi="宋体" w:eastAsia="宋体" w:cs="宋体"/>
                <w:color w:val="000000"/>
                <w:kern w:val="0"/>
                <w:szCs w:val="21"/>
              </w:rPr>
            </w:pPr>
            <w:r>
              <w:rPr>
                <w:rFonts w:hint="eastAsia" w:ascii="宋体" w:hAnsi="宋体" w:eastAsia="宋体" w:cs="宋体"/>
                <w:color w:val="000000"/>
                <w:kern w:val="0"/>
                <w:szCs w:val="21"/>
              </w:rPr>
              <w:t>原母液槽开、封人孔</w:t>
            </w:r>
          </w:p>
        </w:tc>
        <w:tc>
          <w:tcPr>
            <w:tcW w:w="992" w:type="dxa"/>
            <w:gridSpan w:val="2"/>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809</w:t>
            </w:r>
          </w:p>
        </w:tc>
        <w:tc>
          <w:tcPr>
            <w:tcW w:w="1134" w:type="dxa"/>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kern w:val="0"/>
                <w:szCs w:val="21"/>
                <w:lang w:eastAsia="zh-CN"/>
              </w:rPr>
            </w:pPr>
          </w:p>
        </w:tc>
      </w:tr>
      <w:tr>
        <w:tblPrEx>
          <w:tblCellMar>
            <w:top w:w="0" w:type="dxa"/>
            <w:left w:w="108" w:type="dxa"/>
            <w:bottom w:w="0" w:type="dxa"/>
            <w:right w:w="108" w:type="dxa"/>
          </w:tblCellMar>
        </w:tblPrEx>
        <w:trPr>
          <w:trHeight w:val="315"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51</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种分槽开人孔清理门口和中心轴结疤</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1618</w:t>
            </w:r>
          </w:p>
        </w:tc>
        <w:tc>
          <w:tcPr>
            <w:tcW w:w="1134" w:type="dxa"/>
            <w:vMerge w:val="restart"/>
            <w:tcBorders>
              <w:top w:val="nil"/>
              <w:left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cs="宋体"/>
                <w:color w:val="000000"/>
                <w:kern w:val="0"/>
                <w:szCs w:val="21"/>
                <w:lang w:eastAsia="zh-CN"/>
              </w:rPr>
              <w:t>成品</w:t>
            </w:r>
            <w:r>
              <w:rPr>
                <w:rFonts w:hint="eastAsia" w:ascii="宋体" w:hAnsi="宋体" w:eastAsia="宋体" w:cs="宋体"/>
                <w:color w:val="000000"/>
                <w:kern w:val="0"/>
                <w:szCs w:val="21"/>
              </w:rPr>
              <w:t>区域</w:t>
            </w: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52</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循环水池清理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3642</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53</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晶种槽清理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1862</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54</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污水槽、AH浆液槽清理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365</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55</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滤饼槽清理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1214</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56</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晶种管倒碱洗、流程恢复</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次</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406</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57</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精液管倒碱洗流程</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次</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406</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58</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宽板水侧倒碱洗流程</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146</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59</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宽板料侧倒碱洗流程</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146</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60</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循环水池填料更换</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24281</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61</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布水管更换</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根</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406</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62</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冷却塔布水管检查清理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次</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57</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63</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宽板开、封水侧门清理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98</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64</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宽板开、封水侧门清理带管道</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122</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65</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宽板开、封料侧门清理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122</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66</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宽板开、封料侧门清理带管道</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146</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67</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种分槽隔离、抽加溜槽插板</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202</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68</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种分槽上溜槽及提料桶清理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122</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69</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精液入晶种槽斜管清理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98</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70</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晶种槽漏斗清理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98</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71</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高位出料管在18.5米入环形管清理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条</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186</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72</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叶滤机流量计卸清理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98</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73</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叶滤机旁通泄泥阀DN150阀门及管道检查清理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98</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74</w:t>
            </w:r>
          </w:p>
        </w:tc>
        <w:tc>
          <w:tcPr>
            <w:tcW w:w="655" w:type="dxa"/>
            <w:tcBorders>
              <w:top w:val="nil"/>
              <w:left w:val="nil"/>
              <w:bottom w:val="single" w:color="auto" w:sz="4" w:space="0"/>
              <w:right w:val="single" w:color="auto" w:sz="4" w:space="0"/>
            </w:tcBorders>
            <w:noWrap/>
            <w:vAlign w:val="bottom"/>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24</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浆液槽结疤清理m3</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m3</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162</w:t>
            </w:r>
          </w:p>
        </w:tc>
        <w:tc>
          <w:tcPr>
            <w:tcW w:w="1134" w:type="dxa"/>
            <w:vMerge w:val="continue"/>
            <w:tcBorders>
              <w:left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75</w:t>
            </w:r>
          </w:p>
        </w:tc>
        <w:tc>
          <w:tcPr>
            <w:tcW w:w="655"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2</w:t>
            </w:r>
            <w:r>
              <w:rPr>
                <w:rFonts w:hint="eastAsia" w:ascii="宋体" w:hAnsi="宋体" w:cs="宋体"/>
                <w:color w:val="000000"/>
                <w:kern w:val="0"/>
                <w:szCs w:val="21"/>
                <w:lang w:val="en-US" w:eastAsia="zh-CN"/>
              </w:rPr>
              <w:t>5</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流化床清理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1214</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76</w:t>
            </w:r>
          </w:p>
        </w:tc>
        <w:tc>
          <w:tcPr>
            <w:tcW w:w="655" w:type="dxa"/>
            <w:tcBorders>
              <w:top w:val="nil"/>
              <w:left w:val="nil"/>
              <w:bottom w:val="single" w:color="auto" w:sz="4" w:space="0"/>
              <w:right w:val="single" w:color="auto" w:sz="4" w:space="0"/>
            </w:tcBorders>
            <w:noWrap/>
            <w:vAlign w:val="bottom"/>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26</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A05捅料</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次</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607</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77</w:t>
            </w:r>
          </w:p>
        </w:tc>
        <w:tc>
          <w:tcPr>
            <w:tcW w:w="655" w:type="dxa"/>
            <w:tcBorders>
              <w:top w:val="nil"/>
              <w:left w:val="nil"/>
              <w:bottom w:val="single" w:color="auto" w:sz="4" w:space="0"/>
              <w:right w:val="single" w:color="auto" w:sz="4" w:space="0"/>
            </w:tcBorders>
            <w:noWrap/>
            <w:vAlign w:val="bottom"/>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27</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内衬清理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m2</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323</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78</w:t>
            </w:r>
          </w:p>
        </w:tc>
        <w:tc>
          <w:tcPr>
            <w:tcW w:w="655" w:type="dxa"/>
            <w:tcBorders>
              <w:top w:val="nil"/>
              <w:left w:val="nil"/>
              <w:bottom w:val="single" w:color="auto" w:sz="4" w:space="0"/>
              <w:right w:val="single" w:color="auto" w:sz="4" w:space="0"/>
            </w:tcBorders>
            <w:noWrap/>
            <w:vAlign w:val="bottom"/>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28</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换收尘袋子</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809</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79</w:t>
            </w:r>
          </w:p>
        </w:tc>
        <w:tc>
          <w:tcPr>
            <w:tcW w:w="655" w:type="dxa"/>
            <w:tcBorders>
              <w:top w:val="nil"/>
              <w:left w:val="nil"/>
              <w:bottom w:val="single" w:color="auto" w:sz="4" w:space="0"/>
              <w:right w:val="single" w:color="auto" w:sz="4" w:space="0"/>
            </w:tcBorders>
            <w:noWrap/>
            <w:vAlign w:val="bottom"/>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29</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焙烧炉电收尘积灰斗清理</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809</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80</w:t>
            </w:r>
          </w:p>
        </w:tc>
        <w:tc>
          <w:tcPr>
            <w:tcW w:w="655" w:type="dxa"/>
            <w:tcBorders>
              <w:top w:val="nil"/>
              <w:left w:val="nil"/>
              <w:bottom w:val="single" w:color="auto" w:sz="4" w:space="0"/>
              <w:right w:val="single" w:color="auto" w:sz="4" w:space="0"/>
            </w:tcBorders>
            <w:noWrap/>
            <w:vAlign w:val="bottom"/>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30</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焙烧炉系统开封人孔</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40</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3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81</w:t>
            </w:r>
          </w:p>
        </w:tc>
        <w:tc>
          <w:tcPr>
            <w:tcW w:w="655" w:type="dxa"/>
            <w:tcBorders>
              <w:top w:val="nil"/>
              <w:left w:val="nil"/>
              <w:bottom w:val="single" w:color="auto" w:sz="4" w:space="0"/>
              <w:right w:val="single" w:color="auto" w:sz="4" w:space="0"/>
            </w:tcBorders>
            <w:noWrap/>
            <w:vAlign w:val="bottom"/>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31</w:t>
            </w:r>
          </w:p>
        </w:tc>
        <w:tc>
          <w:tcPr>
            <w:tcW w:w="2923" w:type="dxa"/>
            <w:tcBorders>
              <w:top w:val="nil"/>
              <w:left w:val="nil"/>
              <w:bottom w:val="single" w:color="auto" w:sz="4" w:space="0"/>
              <w:right w:val="single" w:color="auto" w:sz="4" w:space="0"/>
            </w:tcBorders>
            <w:noWrap/>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冷却塔更换填料</w:t>
            </w:r>
          </w:p>
        </w:tc>
        <w:tc>
          <w:tcPr>
            <w:tcW w:w="992"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2268"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24281</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838" w:type="dxa"/>
            <w:gridSpan w:val="6"/>
            <w:tcBorders>
              <w:top w:val="single" w:color="auto" w:sz="4" w:space="0"/>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备注:其中换收尘袋子皮带廊7#8#9#10#收尘袋子更换2000元/台（更换难度大）。</w:t>
            </w:r>
          </w:p>
        </w:tc>
        <w:tc>
          <w:tcPr>
            <w:tcW w:w="1134"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82</w:t>
            </w:r>
          </w:p>
        </w:tc>
        <w:tc>
          <w:tcPr>
            <w:tcW w:w="65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3206" w:type="dxa"/>
            <w:gridSpan w:val="2"/>
            <w:tcBorders>
              <w:top w:val="nil"/>
              <w:left w:val="nil"/>
              <w:bottom w:val="single" w:color="auto" w:sz="4" w:space="0"/>
              <w:right w:val="single" w:color="auto" w:sz="4" w:space="0"/>
            </w:tcBorders>
            <w:noWrap/>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原煤仓清理</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次</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1157</w:t>
            </w:r>
          </w:p>
        </w:tc>
        <w:tc>
          <w:tcPr>
            <w:tcW w:w="1134" w:type="dxa"/>
            <w:vMerge w:val="restart"/>
            <w:tcBorders>
              <w:top w:val="nil"/>
              <w:left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cs="宋体"/>
                <w:color w:val="000000"/>
                <w:kern w:val="0"/>
                <w:szCs w:val="21"/>
                <w:lang w:eastAsia="zh-CN"/>
              </w:rPr>
              <w:t>热力</w:t>
            </w:r>
            <w:r>
              <w:rPr>
                <w:rFonts w:hint="eastAsia" w:ascii="宋体" w:hAnsi="宋体" w:eastAsia="宋体" w:cs="宋体"/>
                <w:color w:val="000000"/>
                <w:kern w:val="0"/>
                <w:szCs w:val="21"/>
              </w:rPr>
              <w:t>区域</w:t>
            </w: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83</w:t>
            </w:r>
          </w:p>
        </w:tc>
        <w:tc>
          <w:tcPr>
            <w:tcW w:w="65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3206" w:type="dxa"/>
            <w:gridSpan w:val="2"/>
            <w:tcBorders>
              <w:top w:val="nil"/>
              <w:left w:val="nil"/>
              <w:bottom w:val="single" w:color="auto" w:sz="4" w:space="0"/>
              <w:right w:val="single" w:color="auto" w:sz="4" w:space="0"/>
            </w:tcBorders>
            <w:noWrap/>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粉仓清理</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2321</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84</w:t>
            </w:r>
          </w:p>
        </w:tc>
        <w:tc>
          <w:tcPr>
            <w:tcW w:w="65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3206" w:type="dxa"/>
            <w:gridSpan w:val="2"/>
            <w:tcBorders>
              <w:top w:val="nil"/>
              <w:left w:val="nil"/>
              <w:bottom w:val="single" w:color="auto" w:sz="4" w:space="0"/>
              <w:right w:val="single" w:color="auto" w:sz="4" w:space="0"/>
            </w:tcBorders>
            <w:noWrap/>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烟道积灰清理</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t</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57</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85</w:t>
            </w:r>
          </w:p>
        </w:tc>
        <w:tc>
          <w:tcPr>
            <w:tcW w:w="65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3206" w:type="dxa"/>
            <w:gridSpan w:val="2"/>
            <w:tcBorders>
              <w:top w:val="nil"/>
              <w:left w:val="nil"/>
              <w:bottom w:val="single" w:color="auto" w:sz="4" w:space="0"/>
              <w:right w:val="single" w:color="auto" w:sz="4" w:space="0"/>
            </w:tcBorders>
            <w:noWrap/>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捞渣机清理</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次</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609</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86</w:t>
            </w:r>
          </w:p>
        </w:tc>
        <w:tc>
          <w:tcPr>
            <w:tcW w:w="65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3206" w:type="dxa"/>
            <w:gridSpan w:val="2"/>
            <w:tcBorders>
              <w:top w:val="nil"/>
              <w:left w:val="nil"/>
              <w:bottom w:val="single" w:color="auto" w:sz="4" w:space="0"/>
              <w:right w:val="single" w:color="auto" w:sz="4" w:space="0"/>
            </w:tcBorders>
            <w:noWrap/>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化学液碱罐清理</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1521</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87</w:t>
            </w:r>
          </w:p>
        </w:tc>
        <w:tc>
          <w:tcPr>
            <w:tcW w:w="65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3206" w:type="dxa"/>
            <w:gridSpan w:val="2"/>
            <w:tcBorders>
              <w:top w:val="nil"/>
              <w:left w:val="nil"/>
              <w:bottom w:val="single" w:color="auto" w:sz="4" w:space="0"/>
              <w:right w:val="single" w:color="auto" w:sz="4" w:space="0"/>
            </w:tcBorders>
            <w:noWrap/>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锅炉内部清理（高过至炉膛，尾部烟道）</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1933</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88</w:t>
            </w:r>
          </w:p>
        </w:tc>
        <w:tc>
          <w:tcPr>
            <w:tcW w:w="65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7</w:t>
            </w:r>
          </w:p>
        </w:tc>
        <w:tc>
          <w:tcPr>
            <w:tcW w:w="3206" w:type="dxa"/>
            <w:gridSpan w:val="2"/>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脱硫塔内部积料清理盘运</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方</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57</w:t>
            </w:r>
          </w:p>
        </w:tc>
        <w:tc>
          <w:tcPr>
            <w:tcW w:w="1134" w:type="dxa"/>
            <w:vMerge w:val="continue"/>
            <w:tcBorders>
              <w:left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89</w:t>
            </w:r>
          </w:p>
        </w:tc>
        <w:tc>
          <w:tcPr>
            <w:tcW w:w="65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8</w:t>
            </w:r>
          </w:p>
        </w:tc>
        <w:tc>
          <w:tcPr>
            <w:tcW w:w="3206" w:type="dxa"/>
            <w:gridSpan w:val="2"/>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电除尘内部积灰清理盘运</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1142</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c>
          <w:tcPr>
            <w:tcW w:w="65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9</w:t>
            </w:r>
          </w:p>
        </w:tc>
        <w:tc>
          <w:tcPr>
            <w:tcW w:w="3206" w:type="dxa"/>
            <w:gridSpan w:val="2"/>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电除尘内部积灰冲洗</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1142</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91</w:t>
            </w:r>
          </w:p>
        </w:tc>
        <w:tc>
          <w:tcPr>
            <w:tcW w:w="655"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c>
          <w:tcPr>
            <w:tcW w:w="3206" w:type="dxa"/>
            <w:gridSpan w:val="2"/>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脱硝催化剂积灰清理盘运（三层）</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层</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760</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92</w:t>
            </w:r>
          </w:p>
        </w:tc>
        <w:tc>
          <w:tcPr>
            <w:tcW w:w="655"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11</w:t>
            </w:r>
          </w:p>
        </w:tc>
        <w:tc>
          <w:tcPr>
            <w:tcW w:w="3206" w:type="dxa"/>
            <w:gridSpan w:val="2"/>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脱硫塔进出口烟道清理盘运</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1446</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93</w:t>
            </w:r>
          </w:p>
        </w:tc>
        <w:tc>
          <w:tcPr>
            <w:tcW w:w="655"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12</w:t>
            </w:r>
          </w:p>
        </w:tc>
        <w:tc>
          <w:tcPr>
            <w:tcW w:w="3206" w:type="dxa"/>
            <w:gridSpan w:val="2"/>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脱硫塔除雾器清理盘运</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1066</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94</w:t>
            </w:r>
          </w:p>
        </w:tc>
        <w:tc>
          <w:tcPr>
            <w:tcW w:w="655"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13</w:t>
            </w:r>
          </w:p>
        </w:tc>
        <w:tc>
          <w:tcPr>
            <w:tcW w:w="3206" w:type="dxa"/>
            <w:gridSpan w:val="2"/>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石灰浆液储备槽、粉仓积料清理盘运</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方</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57</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95</w:t>
            </w:r>
          </w:p>
        </w:tc>
        <w:tc>
          <w:tcPr>
            <w:tcW w:w="655"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14</w:t>
            </w:r>
          </w:p>
        </w:tc>
        <w:tc>
          <w:tcPr>
            <w:tcW w:w="3206" w:type="dxa"/>
            <w:gridSpan w:val="2"/>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脱硫塔内外局部防腐</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359</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655"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15</w:t>
            </w:r>
          </w:p>
        </w:tc>
        <w:tc>
          <w:tcPr>
            <w:tcW w:w="3206" w:type="dxa"/>
            <w:gridSpan w:val="2"/>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电收尘瓷瓶更换</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1370</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97</w:t>
            </w:r>
          </w:p>
        </w:tc>
        <w:tc>
          <w:tcPr>
            <w:tcW w:w="65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6</w:t>
            </w:r>
          </w:p>
        </w:tc>
        <w:tc>
          <w:tcPr>
            <w:tcW w:w="3206" w:type="dxa"/>
            <w:gridSpan w:val="2"/>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循环泵短接及泵壳清理衬瓷</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1142</w:t>
            </w:r>
          </w:p>
        </w:tc>
        <w:tc>
          <w:tcPr>
            <w:tcW w:w="1134" w:type="dxa"/>
            <w:vMerge w:val="continue"/>
            <w:tcBorders>
              <w:left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1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98</w:t>
            </w:r>
          </w:p>
        </w:tc>
        <w:tc>
          <w:tcPr>
            <w:tcW w:w="655"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7</w:t>
            </w:r>
          </w:p>
        </w:tc>
        <w:tc>
          <w:tcPr>
            <w:tcW w:w="3206" w:type="dxa"/>
            <w:gridSpan w:val="2"/>
            <w:tcBorders>
              <w:top w:val="nil"/>
              <w:left w:val="nil"/>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能源区域生活垃圾清理外运</w:t>
            </w:r>
          </w:p>
        </w:tc>
        <w:tc>
          <w:tcPr>
            <w:tcW w:w="993" w:type="dxa"/>
            <w:gridSpan w:val="2"/>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车</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81</w:t>
            </w:r>
          </w:p>
        </w:tc>
        <w:tc>
          <w:tcPr>
            <w:tcW w:w="1134"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99</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320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管道清理类（高空作业费用翻倍）</w:t>
            </w:r>
          </w:p>
        </w:tc>
        <w:tc>
          <w:tcPr>
            <w:tcW w:w="993"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m</w:t>
            </w:r>
          </w:p>
        </w:tc>
        <w:tc>
          <w:tcPr>
            <w:tcW w:w="1984" w:type="dxa"/>
            <w:tcBorders>
              <w:top w:val="nil"/>
              <w:left w:val="nil"/>
              <w:bottom w:val="single" w:color="auto" w:sz="4" w:space="0"/>
              <w:right w:val="single" w:color="auto" w:sz="4" w:space="0"/>
            </w:tcBorders>
            <w:noWrap/>
            <w:vAlign w:val="bottom"/>
          </w:tcPr>
          <w:p>
            <w:pPr>
              <w:keepNext w:val="0"/>
              <w:keepLines w:val="0"/>
              <w:widowControl/>
              <w:suppressLineNumbers w:val="0"/>
              <w:jc w:val="center"/>
              <w:textAlignment w:val="bottom"/>
              <w:rPr>
                <w:rFonts w:ascii="宋体" w:hAnsi="宋体" w:eastAsia="宋体" w:cs="宋体"/>
                <w:color w:val="000000"/>
                <w:szCs w:val="21"/>
              </w:rPr>
            </w:pPr>
            <w:r>
              <w:rPr>
                <w:rFonts w:hint="eastAsia" w:ascii="宋体" w:hAnsi="宋体" w:eastAsia="宋体" w:cs="宋体"/>
                <w:i w:val="0"/>
                <w:iCs w:val="0"/>
                <w:color w:val="000000"/>
                <w:kern w:val="0"/>
                <w:sz w:val="18"/>
                <w:szCs w:val="18"/>
                <w:u w:val="none"/>
                <w:lang w:val="en-US" w:eastAsia="zh-CN" w:bidi="ar"/>
              </w:rPr>
              <w:t>按照直径</w:t>
            </w:r>
          </w:p>
        </w:tc>
        <w:tc>
          <w:tcPr>
            <w:tcW w:w="1134"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通用部分</w:t>
            </w: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100</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320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倒流程抽加插板或开封人孔（高空作业费用翻倍）：</w:t>
            </w:r>
          </w:p>
        </w:tc>
        <w:tc>
          <w:tcPr>
            <w:tcW w:w="993"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kern w:val="0"/>
                <w:szCs w:val="21"/>
              </w:rPr>
            </w:pP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101</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320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直径大于600MM的抽加盲板或开封人孔</w:t>
            </w:r>
          </w:p>
        </w:tc>
        <w:tc>
          <w:tcPr>
            <w:tcW w:w="993"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406</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102</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320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直径450-600MM的抽加盲板或开封人孔</w:t>
            </w:r>
          </w:p>
        </w:tc>
        <w:tc>
          <w:tcPr>
            <w:tcW w:w="993"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162</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103</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320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直径300-400MM的抽加盲板或开封人孔</w:t>
            </w:r>
          </w:p>
        </w:tc>
        <w:tc>
          <w:tcPr>
            <w:tcW w:w="993"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122</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104</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320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更换阀门（高空作业费用翻倍）：</w:t>
            </w:r>
          </w:p>
        </w:tc>
        <w:tc>
          <w:tcPr>
            <w:tcW w:w="993"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kern w:val="0"/>
                <w:szCs w:val="21"/>
              </w:rPr>
            </w:pP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15"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105</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320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直径450-600MM（含闸阀、半球阀、管道清理。）</w:t>
            </w:r>
          </w:p>
        </w:tc>
        <w:tc>
          <w:tcPr>
            <w:tcW w:w="993"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406</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106</w:t>
            </w:r>
          </w:p>
        </w:tc>
        <w:tc>
          <w:tcPr>
            <w:tcW w:w="655" w:type="dxa"/>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320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直径300-400MM</w:t>
            </w:r>
          </w:p>
        </w:tc>
        <w:tc>
          <w:tcPr>
            <w:tcW w:w="993"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284</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107</w:t>
            </w:r>
          </w:p>
        </w:tc>
        <w:tc>
          <w:tcPr>
            <w:tcW w:w="655"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c>
          <w:tcPr>
            <w:tcW w:w="320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污水槽常规清理</w:t>
            </w:r>
          </w:p>
        </w:tc>
        <w:tc>
          <w:tcPr>
            <w:tcW w:w="993"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1214</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108</w:t>
            </w:r>
          </w:p>
        </w:tc>
        <w:tc>
          <w:tcPr>
            <w:tcW w:w="655"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w:t>
            </w:r>
          </w:p>
        </w:tc>
        <w:tc>
          <w:tcPr>
            <w:tcW w:w="320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有价物料回收入流程</w:t>
            </w:r>
          </w:p>
        </w:tc>
        <w:tc>
          <w:tcPr>
            <w:tcW w:w="993"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t</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17</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109</w:t>
            </w:r>
          </w:p>
        </w:tc>
        <w:tc>
          <w:tcPr>
            <w:tcW w:w="655"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6</w:t>
            </w:r>
          </w:p>
        </w:tc>
        <w:tc>
          <w:tcPr>
            <w:tcW w:w="320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各类药剂倒运</w:t>
            </w:r>
          </w:p>
        </w:tc>
        <w:tc>
          <w:tcPr>
            <w:tcW w:w="993"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t</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24</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270" w:hRule="atLeast"/>
          <w:jc w:val="center"/>
        </w:trPr>
        <w:tc>
          <w:tcPr>
            <w:tcW w:w="685"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110</w:t>
            </w:r>
          </w:p>
        </w:tc>
        <w:tc>
          <w:tcPr>
            <w:tcW w:w="655" w:type="dxa"/>
            <w:tcBorders>
              <w:top w:val="nil"/>
              <w:left w:val="nil"/>
              <w:bottom w:val="single" w:color="auto" w:sz="4" w:space="0"/>
              <w:right w:val="single" w:color="auto" w:sz="4" w:space="0"/>
            </w:tcBorders>
            <w:noWrap/>
            <w:vAlign w:val="bottom"/>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7</w:t>
            </w:r>
          </w:p>
        </w:tc>
        <w:tc>
          <w:tcPr>
            <w:tcW w:w="3206" w:type="dxa"/>
            <w:gridSpan w:val="2"/>
            <w:tcBorders>
              <w:top w:val="nil"/>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结疤清理倒运</w:t>
            </w:r>
          </w:p>
        </w:tc>
        <w:tc>
          <w:tcPr>
            <w:tcW w:w="993" w:type="dxa"/>
            <w:gridSpan w:val="2"/>
            <w:tcBorders>
              <w:top w:val="nil"/>
              <w:left w:val="nil"/>
              <w:bottom w:val="single" w:color="auto" w:sz="4" w:space="0"/>
              <w:right w:val="single" w:color="auto" w:sz="4" w:space="0"/>
            </w:tcBorders>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t</w:t>
            </w:r>
          </w:p>
        </w:tc>
        <w:tc>
          <w:tcPr>
            <w:tcW w:w="1984"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eastAsia="宋体" w:cs="宋体"/>
                <w:color w:val="000000"/>
                <w:szCs w:val="21"/>
              </w:rPr>
            </w:pPr>
            <w:r>
              <w:rPr>
                <w:rFonts w:hint="eastAsia" w:ascii="宋体" w:hAnsi="宋体" w:eastAsia="宋体" w:cs="宋体"/>
                <w:i w:val="0"/>
                <w:iCs w:val="0"/>
                <w:color w:val="000000"/>
                <w:kern w:val="0"/>
                <w:sz w:val="22"/>
                <w:szCs w:val="22"/>
                <w:u w:val="none"/>
                <w:lang w:val="en-US" w:eastAsia="zh-CN" w:bidi="ar"/>
              </w:rPr>
              <w:t>32</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75" w:hRule="atLeast"/>
          <w:jc w:val="center"/>
        </w:trPr>
        <w:tc>
          <w:tcPr>
            <w:tcW w:w="685" w:type="dxa"/>
            <w:vMerge w:val="restart"/>
            <w:tcBorders>
              <w:top w:val="nil"/>
              <w:left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备注：</w:t>
            </w:r>
          </w:p>
          <w:p>
            <w:pPr>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6838" w:type="dxa"/>
            <w:gridSpan w:val="6"/>
            <w:tcBorders>
              <w:top w:val="single" w:color="auto" w:sz="4" w:space="0"/>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1.其中管道清理类根据管道直径算费用计算，1寸按照2.5元，高空2倍计算。</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615" w:hRule="atLeast"/>
          <w:jc w:val="center"/>
        </w:trPr>
        <w:tc>
          <w:tcPr>
            <w:tcW w:w="685"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6838" w:type="dxa"/>
            <w:gridSpan w:val="6"/>
            <w:tcBorders>
              <w:top w:val="single" w:color="auto" w:sz="4" w:space="0"/>
              <w:left w:val="nil"/>
              <w:bottom w:val="single" w:color="auto" w:sz="4" w:space="0"/>
              <w:right w:val="single" w:color="auto" w:sz="4" w:space="0"/>
            </w:tcBorders>
            <w:noWrap/>
            <w:vAlign w:val="bottom"/>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2.其中2.1-2.5清理三通短接沉淀结疤三通≥DN300加100元,短接加50元/个;≥DN150加50元,短接加30元/个;≤DN100加50元。</w:t>
            </w:r>
          </w:p>
        </w:tc>
        <w:tc>
          <w:tcPr>
            <w:tcW w:w="1134" w:type="dxa"/>
            <w:vMerge w:val="continue"/>
            <w:tcBorders>
              <w:top w:val="nil"/>
              <w:left w:val="single" w:color="auto" w:sz="4" w:space="0"/>
              <w:bottom w:val="single" w:color="auto" w:sz="4" w:space="0"/>
              <w:right w:val="single" w:color="auto" w:sz="4" w:space="0"/>
            </w:tcBorders>
            <w:noWrap/>
            <w:vAlign w:val="center"/>
          </w:tcPr>
          <w:p>
            <w:pPr>
              <w:widowControl/>
              <w:jc w:val="left"/>
              <w:rPr>
                <w:rFonts w:ascii="宋体" w:hAnsi="宋体" w:eastAsia="宋体" w:cs="宋体"/>
                <w:color w:val="000000"/>
                <w:kern w:val="0"/>
                <w:szCs w:val="21"/>
              </w:rPr>
            </w:pPr>
          </w:p>
        </w:tc>
      </w:tr>
    </w:tbl>
    <w:p>
      <w:pPr>
        <w:spacing w:line="360" w:lineRule="auto"/>
        <w:ind w:firstLine="420" w:firstLineChars="200"/>
        <w:rPr>
          <w:rFonts w:hint="eastAsia" w:ascii="宋体" w:hAnsi="宋体"/>
          <w:szCs w:val="21"/>
          <w:lang w:eastAsia="zh-CN"/>
        </w:rPr>
      </w:pPr>
    </w:p>
    <w:p>
      <w:pPr>
        <w:spacing w:line="360" w:lineRule="auto"/>
        <w:ind w:firstLine="420" w:firstLineChars="200"/>
        <w:jc w:val="center"/>
        <w:rPr>
          <w:rFonts w:hint="eastAsia" w:ascii="宋体" w:hAnsi="宋体"/>
          <w:color w:val="auto"/>
          <w:szCs w:val="21"/>
          <w:lang w:eastAsia="zh-CN"/>
        </w:rPr>
      </w:pPr>
      <w:r>
        <w:rPr>
          <w:rFonts w:hint="eastAsia" w:ascii="宋体" w:hAnsi="宋体"/>
          <w:color w:val="auto"/>
          <w:szCs w:val="21"/>
          <w:lang w:eastAsia="zh-CN"/>
        </w:rPr>
        <w:t>中铝中州新材料科技有限公司项目明细及采购限价</w:t>
      </w:r>
    </w:p>
    <w:p>
      <w:pPr>
        <w:ind w:firstLine="5880" w:firstLineChars="2800"/>
        <w:rPr>
          <w:rFonts w:hint="eastAsia"/>
          <w:lang w:eastAsia="zh-CN"/>
        </w:rPr>
      </w:pPr>
      <w:r>
        <w:rPr>
          <w:rFonts w:hint="eastAsia" w:ascii="宋体" w:hAnsi="宋体" w:eastAsia="宋体" w:cs="宋体"/>
          <w:color w:val="000000"/>
          <w:kern w:val="0"/>
          <w:szCs w:val="21"/>
        </w:rPr>
        <w:t>最高限价</w:t>
      </w:r>
      <w:r>
        <w:rPr>
          <w:rFonts w:hint="eastAsia" w:ascii="宋体" w:hAnsi="宋体" w:eastAsia="宋体" w:cs="宋体"/>
          <w:szCs w:val="21"/>
        </w:rPr>
        <w:t>单位：元</w:t>
      </w:r>
    </w:p>
    <w:tbl>
      <w:tblPr>
        <w:tblStyle w:val="35"/>
        <w:tblW w:w="8017" w:type="dxa"/>
        <w:jc w:val="center"/>
        <w:tblLayout w:type="fixed"/>
        <w:tblCellMar>
          <w:top w:w="0" w:type="dxa"/>
          <w:left w:w="108" w:type="dxa"/>
          <w:bottom w:w="0" w:type="dxa"/>
          <w:right w:w="108" w:type="dxa"/>
        </w:tblCellMar>
      </w:tblPr>
      <w:tblGrid>
        <w:gridCol w:w="1912"/>
        <w:gridCol w:w="750"/>
        <w:gridCol w:w="1260"/>
        <w:gridCol w:w="1855"/>
        <w:gridCol w:w="860"/>
        <w:gridCol w:w="1380"/>
      </w:tblGrid>
      <w:tr>
        <w:tblPrEx>
          <w:tblCellMar>
            <w:top w:w="0" w:type="dxa"/>
            <w:left w:w="108" w:type="dxa"/>
            <w:bottom w:w="0" w:type="dxa"/>
            <w:right w:w="108" w:type="dxa"/>
          </w:tblCellMar>
        </w:tblPrEx>
        <w:trPr>
          <w:trHeight w:val="342" w:hRule="atLeast"/>
          <w:jc w:val="center"/>
        </w:trPr>
        <w:tc>
          <w:tcPr>
            <w:tcW w:w="801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溶出区域</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项目</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单位</w:t>
            </w:r>
          </w:p>
        </w:tc>
        <w:tc>
          <w:tcPr>
            <w:tcW w:w="12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单价</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项目</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单位</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单价</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1#-6#分离槽清理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2434.32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1#-6#碳母管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19865.58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1#-11#溶出槽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2457.84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1#-4#调整槽出料管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底流混合槽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2457.84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刷泵管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828.1</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溶出粗液槽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2457.84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溶出粗液管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57942.5</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溶出污水槽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溶出污水管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 xml:space="preserve">828.10 </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溶出絮凝剂槽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5327.28</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溶出底流管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33110.28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1#-8#洗涤槽清理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14071.82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溶出管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1366.12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洗涤底流混合槽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1洗管清理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66220.56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洗涤热水槽清理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4138.54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2洗管清理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66220.56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洗涤末次槽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4138.54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短路管清理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8277.08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洗涤絮凝剂槽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5327.28</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洗涤底流出料管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2069.76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洗涤污水槽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洗涤底流管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2069.76</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1#-6#脱硅机罐、自蒸发器、缓冲槽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14071.82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洗涤污水槽出口管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脱硅热水槽清理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4138.54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1#-6#脱硅机罐、自蒸发器、缓冲槽过料管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9933.28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脱硅、叶滤污水槽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1#-6#脱硅机进料管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19865.58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脱硅粗液槽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1#-6#脱硅机出料管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28970.76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合成液槽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4138.54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脱硅热水槽管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26488.42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种母槽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4138.54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脱硅、叶滤污水管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1241.66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1#-4#沉降槽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7449.96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脱硅粗液槽过料管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8277.08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1#-3#滤饼槽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4966.64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合成液槽出料管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1#-4#硅渣槽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3310.44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种母槽出料管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1#-2#精液槽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1#-4#沉降槽底流管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3310.44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1#-2#原液槽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1#-3#滤饼管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16555.14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1#-4#反应槽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1#-4#硅渣管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7#8#粗液槽加热器</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9105.18</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1#-6#精液管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27316.52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收尘管</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14071.82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1#-12#原液进料管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4966.64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1#-6#分离槽底流管</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290.08</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1#-12#滤液下料管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4966.64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1#-6#分离槽进料溜、直流槽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1#-4#沉降槽直流管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2069.76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1#-6#溶出磨液量管</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2069.76</w:t>
            </w:r>
          </w:p>
        </w:tc>
        <w:tc>
          <w:tcPr>
            <w:tcW w:w="1855"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0"/>
                <w:sz w:val="18"/>
                <w:szCs w:val="18"/>
              </w:rPr>
            </w:pPr>
          </w:p>
        </w:tc>
        <w:tc>
          <w:tcPr>
            <w:tcW w:w="860" w:type="dxa"/>
            <w:tcBorders>
              <w:top w:val="nil"/>
              <w:left w:val="nil"/>
              <w:bottom w:val="single" w:color="auto" w:sz="4" w:space="0"/>
              <w:right w:val="single" w:color="auto" w:sz="4" w:space="0"/>
            </w:tcBorders>
            <w:shd w:val="clear" w:color="auto" w:fill="auto"/>
            <w:vAlign w:val="center"/>
          </w:tcPr>
          <w:p>
            <w:pPr>
              <w:jc w:val="center"/>
              <w:rPr>
                <w:rFonts w:hint="eastAsia"/>
              </w:rPr>
            </w:pPr>
          </w:p>
        </w:tc>
        <w:tc>
          <w:tcPr>
            <w:tcW w:w="1380"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color w:val="000000"/>
                <w:kern w:val="0"/>
                <w:sz w:val="18"/>
                <w:szCs w:val="18"/>
              </w:rPr>
            </w:pPr>
          </w:p>
        </w:tc>
      </w:tr>
      <w:tr>
        <w:tblPrEx>
          <w:tblCellMar>
            <w:top w:w="0" w:type="dxa"/>
            <w:left w:w="108" w:type="dxa"/>
            <w:bottom w:w="0" w:type="dxa"/>
            <w:right w:w="108" w:type="dxa"/>
          </w:tblCellMar>
        </w:tblPrEx>
        <w:trPr>
          <w:trHeight w:val="342" w:hRule="atLeast"/>
          <w:jc w:val="center"/>
        </w:trPr>
        <w:tc>
          <w:tcPr>
            <w:tcW w:w="801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烧成区域</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项目</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单位</w:t>
            </w:r>
          </w:p>
        </w:tc>
        <w:tc>
          <w:tcPr>
            <w:tcW w:w="12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单价</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项目</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单位</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单价</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K槽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16389.52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原料磨更换皮带</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806.54</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A、B槽，碱液槽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6555.22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原料磨磨机出料端及流槽清理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303.8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缓冲槽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1436.68</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原料磨回转筛和半圆槽清理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201.88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A总分料箱及大流槽、竖管</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1078</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原料磨清缓冲槽分料箱</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504.7</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小分料箱</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359.66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原料磨清磨身下地沟，及槽下地沟</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604.66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缓冲管清理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7185.36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原料磨清小分料箱</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402.78</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A、B槽内风管清理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180.32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原料磨更换DN150以上料浆、硅渣阀门</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201.88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K槽内风管清理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180.32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原料磨加钢球一仓</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1210.3</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换风管</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180.32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原料磨加钢球二仓</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1007.44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硅渣管清理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6286.7</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原料磨加钢锻三仓</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1210.3</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原料磨灌胶</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906.5</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原料磨矿石仓清理（每仓）</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777.14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原料磨磨机清理、补球</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1517.04</w:t>
            </w:r>
          </w:p>
        </w:tc>
        <w:tc>
          <w:tcPr>
            <w:tcW w:w="1855"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0"/>
                <w:sz w:val="18"/>
                <w:szCs w:val="18"/>
              </w:rPr>
            </w:pPr>
          </w:p>
        </w:tc>
        <w:tc>
          <w:tcPr>
            <w:tcW w:w="860" w:type="dxa"/>
            <w:tcBorders>
              <w:top w:val="nil"/>
              <w:left w:val="nil"/>
              <w:bottom w:val="single" w:color="auto" w:sz="4" w:space="0"/>
              <w:right w:val="single" w:color="auto" w:sz="4" w:space="0"/>
            </w:tcBorders>
            <w:shd w:val="clear" w:color="auto" w:fill="auto"/>
            <w:vAlign w:val="center"/>
          </w:tcPr>
          <w:p>
            <w:pPr>
              <w:jc w:val="center"/>
              <w:rPr>
                <w:rFonts w:hint="eastAsia"/>
              </w:rPr>
            </w:pPr>
          </w:p>
        </w:tc>
        <w:tc>
          <w:tcPr>
            <w:tcW w:w="138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0"/>
                <w:sz w:val="18"/>
                <w:szCs w:val="18"/>
              </w:rPr>
            </w:pPr>
          </w:p>
        </w:tc>
      </w:tr>
      <w:tr>
        <w:tblPrEx>
          <w:tblCellMar>
            <w:top w:w="0" w:type="dxa"/>
            <w:left w:w="108" w:type="dxa"/>
            <w:bottom w:w="0" w:type="dxa"/>
            <w:right w:w="108" w:type="dxa"/>
          </w:tblCellMar>
        </w:tblPrEx>
        <w:trPr>
          <w:trHeight w:val="342" w:hRule="atLeast"/>
          <w:jc w:val="center"/>
        </w:trPr>
        <w:tc>
          <w:tcPr>
            <w:tcW w:w="801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石灰炉区域</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项目</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单位</w:t>
            </w:r>
          </w:p>
        </w:tc>
        <w:tc>
          <w:tcPr>
            <w:tcW w:w="12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单价</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项目</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单位</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等线" w:hAnsi="等线" w:eastAsia="等线" w:cs="等线"/>
                <w:color w:val="000000"/>
                <w:kern w:val="0"/>
                <w:sz w:val="18"/>
                <w:szCs w:val="18"/>
                <w:lang w:bidi="ar"/>
              </w:rPr>
              <w:t>单价</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石灰乳槽清理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1032.92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洗涤塔清理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2582.3</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白洗槽清理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1032.92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洗涤塔内磁环更换</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3873.94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石灰炉内衬更换</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72428.86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石灰炉电收尘清理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冷却塔池清理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7747.88</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石灰炉内清灰</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516.46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石灰大仓蓬内清理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775.18</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石灰炉内检修清理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2582.3</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石渣仓清理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2065.84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石灰炉房顶清理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2582.3</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废渣仓清理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1291.64</w:t>
            </w:r>
          </w:p>
        </w:tc>
        <w:tc>
          <w:tcPr>
            <w:tcW w:w="1855"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0"/>
                <w:sz w:val="18"/>
                <w:szCs w:val="18"/>
              </w:rPr>
            </w:pPr>
          </w:p>
        </w:tc>
        <w:tc>
          <w:tcPr>
            <w:tcW w:w="860" w:type="dxa"/>
            <w:tcBorders>
              <w:top w:val="nil"/>
              <w:left w:val="nil"/>
              <w:bottom w:val="single" w:color="auto" w:sz="4" w:space="0"/>
              <w:right w:val="single" w:color="auto" w:sz="4" w:space="0"/>
            </w:tcBorders>
            <w:shd w:val="clear" w:color="auto" w:fill="auto"/>
            <w:vAlign w:val="center"/>
          </w:tcPr>
          <w:p>
            <w:pPr>
              <w:jc w:val="center"/>
              <w:rPr>
                <w:rFonts w:hint="eastAsia"/>
              </w:rPr>
            </w:pP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宋体"/>
                <w:color w:val="000000"/>
                <w:kern w:val="0"/>
                <w:sz w:val="18"/>
                <w:szCs w:val="18"/>
              </w:rPr>
            </w:pPr>
            <w:r>
              <w:rPr>
                <w:rFonts w:hint="eastAsia" w:ascii="等线" w:hAnsi="等线" w:eastAsia="等线" w:cs="等线"/>
                <w:color w:val="000000"/>
                <w:kern w:val="0"/>
                <w:sz w:val="18"/>
                <w:szCs w:val="18"/>
                <w:lang w:bidi="ar"/>
              </w:rPr>
              <w:t>0</w:t>
            </w:r>
          </w:p>
        </w:tc>
      </w:tr>
      <w:tr>
        <w:tblPrEx>
          <w:tblCellMar>
            <w:top w:w="0" w:type="dxa"/>
            <w:left w:w="108" w:type="dxa"/>
            <w:bottom w:w="0" w:type="dxa"/>
            <w:right w:w="108" w:type="dxa"/>
          </w:tblCellMar>
        </w:tblPrEx>
        <w:trPr>
          <w:trHeight w:val="342" w:hRule="atLeast"/>
          <w:jc w:val="center"/>
        </w:trPr>
        <w:tc>
          <w:tcPr>
            <w:tcW w:w="801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成品一区域</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项目</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单位</w:t>
            </w:r>
          </w:p>
        </w:tc>
        <w:tc>
          <w:tcPr>
            <w:tcW w:w="12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单价</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项目</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单位</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等线" w:hAnsi="等线" w:eastAsia="等线" w:cs="等线"/>
                <w:color w:val="000000"/>
                <w:kern w:val="0"/>
                <w:sz w:val="18"/>
                <w:szCs w:val="18"/>
                <w:lang w:bidi="ar"/>
              </w:rPr>
              <w:t>单价</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蒸发原母液槽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14750.96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底流母液送种分槽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3443.72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2#、3#原液槽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248326.12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出料泵送平盘</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8277.08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蒸发器清理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7396.06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返溶送五车间</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24832.22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蒸发外送母液管</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13243.72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返溶送过滤污水管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413.56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平盘料浆槽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3#带式溢流管到碳分沉降槽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1241.66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过滤白洗槽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5380.2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4#带式溢流管到碳分沉降槽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1241.66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过滤种母槽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7449.96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7#洗液泵到过滤2#混合槽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过滤碳母槽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7449.96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1#立磨污水管到碳分沉降槽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1490.58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低拜母液槽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2#立磨溢流管到过滤混合槽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1076.04</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碳分底流母液槽槽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2#立磨7#、8#洗液泵到过滤混合槽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1987.44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碳分高位槽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7449.96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2#立磨污水管到碳分沉降槽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5297.88</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Ⅰ组1#、2#碳分槽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7449.96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2#立磨料浆槽污水管到过滤东污水槽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496.86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Ⅰ组3#-6#碳分槽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拜耳料浆泵到2#立磨带式机</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496.86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Ⅱ组1#、2#碳分槽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7449.96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等线" w:cs="Times New Roman"/>
                <w:color w:val="000000"/>
                <w:kern w:val="0"/>
                <w:sz w:val="18"/>
                <w:szCs w:val="18"/>
              </w:rPr>
            </w:pPr>
            <w:r>
              <w:rPr>
                <w:rFonts w:ascii="Times New Roman" w:hAnsi="Times New Roman" w:eastAsia="宋体" w:cs="Times New Roman"/>
                <w:color w:val="000000"/>
                <w:kern w:val="0"/>
                <w:sz w:val="18"/>
                <w:szCs w:val="18"/>
                <w:lang w:bidi="ar"/>
              </w:rPr>
              <w:t>1#料浆泵到2#立磨带式机</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3310.44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Ⅱ组3#-6#碳分槽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干白1#过滤机至母液槽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124.46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Ⅲ组1#、2#碳分槽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7449.96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干白1#过滤机至白洗槽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Ⅲ组3#-6#碳分槽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干白2#过滤机至母液槽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Ⅳ组1#、2#碳分槽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7449.96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干白2#过滤机至白洗槽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206.78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Ⅳ组3#-6#碳分槽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干白3#过滤机至母液槽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206.78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碳分沉降槽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4966.64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干白3#过滤机至白洗槽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206.78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过滤混合槽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4966.64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干白4#过滤机至母液槽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82.32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高效沉降槽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49664.44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干白4#过滤机至白洗槽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206.78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底流混合槽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4138.54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干白5#过滤机至母液槽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413.56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种分碳母储槽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7449.96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干白5#过滤机至白洗槽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413.56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压滤机滤饼槽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3724.98</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种母去碳分槽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3045.84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返溶配料槽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4966.64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种母去蒸发</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5297.88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碳分加热器清理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49664.44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种母去蒸发</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干白废料槽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种母去返溶</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1987.44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立磨料浆槽清理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种母去五车间</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5132.26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立磨母液槽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4966.64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碳母去溶出</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3576.02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立磨白洗槽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4138.54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碳母去溶出</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4469.78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干白缓冲槽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碳母去蒸发</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6291.6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碳分底流母液送蒸发1#管</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19865.58</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碳母去碳分底流</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2516.64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碳分底流母液送蒸发2#管</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19865.58</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白洗去蒸发</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5132.26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碳分底流母液送蒸发3#管</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19865.58</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白洗去化灰机</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10330.18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碳分底流碱液送磨浮</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6539.54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白洗去化灰机</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6456.24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碳出1#种母泵送蒸发</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11257.26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白洗全厂</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8211.42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碳出2#种母泵送种分槽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白洗送蒸发</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6291.6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碳分槽泡槽母液送蒸发</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11257.26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白洗送蒸发</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5032.3</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碳分槽泡槽母液送种分槽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3972.92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白洗送五车间</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5132.26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碳分1#底流泵送沉降槽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662.48</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白洗送立盘</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744.8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碳分2#底流泵送过滤机</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白洗当高压水</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1241.66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碳分3#底流泵送过滤机</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平盘送蒸发母液管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5960.36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碳分5#底流泵送过滤机</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污水送碳分沉降槽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2781.24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碳分5#底流泵送种分零线</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4304.16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料浆送碳分槽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3310.44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碳分2#、6#出料泵送过滤机</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3310.44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料浆送平盘</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1572.9</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碳分底流母液送蒸发4#管</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19865.58</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料浆送平盘</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786.94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碳分底流母液送蒸发5#管</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19865.58</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板式降温送碳分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2251.06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碳分底流母液送过滤</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1987.44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平盘母液去母液槽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1588.58</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碳母深分压滤机母液送二氧磨浮车间</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6539.54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高温窑内衬吊运</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8277.08</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高效送碳分槽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413.56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高温包装收尘器管道</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828.1</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高效送种分槽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2152.08</w:t>
            </w:r>
          </w:p>
        </w:tc>
        <w:tc>
          <w:tcPr>
            <w:tcW w:w="1855"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0"/>
                <w:sz w:val="18"/>
                <w:szCs w:val="18"/>
              </w:rPr>
            </w:pPr>
          </w:p>
        </w:tc>
        <w:tc>
          <w:tcPr>
            <w:tcW w:w="860" w:type="dxa"/>
            <w:tcBorders>
              <w:top w:val="nil"/>
              <w:left w:val="nil"/>
              <w:bottom w:val="single" w:color="auto" w:sz="4" w:space="0"/>
              <w:right w:val="single" w:color="auto" w:sz="4" w:space="0"/>
            </w:tcBorders>
            <w:shd w:val="clear" w:color="auto" w:fill="auto"/>
            <w:vAlign w:val="center"/>
          </w:tcPr>
          <w:p>
            <w:pPr>
              <w:jc w:val="center"/>
              <w:rPr>
                <w:rFonts w:hint="eastAsia"/>
              </w:rPr>
            </w:pPr>
          </w:p>
        </w:tc>
        <w:tc>
          <w:tcPr>
            <w:tcW w:w="138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0"/>
                <w:sz w:val="18"/>
                <w:szCs w:val="18"/>
              </w:rPr>
            </w:pPr>
          </w:p>
        </w:tc>
      </w:tr>
      <w:tr>
        <w:tblPrEx>
          <w:tblCellMar>
            <w:top w:w="0" w:type="dxa"/>
            <w:left w:w="108" w:type="dxa"/>
            <w:bottom w:w="0" w:type="dxa"/>
            <w:right w:w="108" w:type="dxa"/>
          </w:tblCellMar>
        </w:tblPrEx>
        <w:trPr>
          <w:trHeight w:val="342" w:hRule="atLeast"/>
          <w:jc w:val="center"/>
        </w:trPr>
        <w:tc>
          <w:tcPr>
            <w:tcW w:w="801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成品二区域</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项目</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单位</w:t>
            </w:r>
          </w:p>
        </w:tc>
        <w:tc>
          <w:tcPr>
            <w:tcW w:w="12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单价</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项目</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单位</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单价</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高二1-6#种分槽结疤清理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49664.44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循环水池清理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12416.6</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高白一线1#-12#种分槽结疤清理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41387.36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高一料封泵管路结疤清理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3310.44</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高白一线四台桨干结疤清理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1241.66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高二料封泵管路结疤清理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3310.44</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高白二线四台桨干结疤清理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1241.66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车间高白细白收尘布袋滤筒更换</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655.62</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高白一二线14台精板结疤清理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55069.14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高一二种分出料管道清理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4966.64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细白一线精板清理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8786.68</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高一高二倒料管道结疤清理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4966.64</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循环水管路清理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7449.96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细白一线精液管、污水管清理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3310.44</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高白一二线精液槽结疤清理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4138.54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细白二线精液管污水管结疤清理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3310.44</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细白精液槽结疤清理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高一高二成品管结疤清理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2896.88</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高白洗液槽母液槽白洗槽结疤清理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828.1</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细白一线二线成品管路清理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2896.88</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细白分解槽、白洗母液槽结疤清理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828.1</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高一高二爬槽管清理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4966.64</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高白细白污水槽废料槽结疤清理</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c>
          <w:tcPr>
            <w:tcW w:w="1855"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0"/>
                <w:sz w:val="18"/>
                <w:szCs w:val="18"/>
              </w:rPr>
            </w:pPr>
          </w:p>
        </w:tc>
        <w:tc>
          <w:tcPr>
            <w:tcW w:w="860" w:type="dxa"/>
            <w:tcBorders>
              <w:top w:val="nil"/>
              <w:left w:val="nil"/>
              <w:bottom w:val="single" w:color="auto" w:sz="4" w:space="0"/>
              <w:right w:val="single" w:color="auto" w:sz="4" w:space="0"/>
            </w:tcBorders>
            <w:shd w:val="clear" w:color="auto" w:fill="auto"/>
            <w:vAlign w:val="center"/>
          </w:tcPr>
          <w:p>
            <w:pPr>
              <w:jc w:val="center"/>
              <w:rPr>
                <w:rFonts w:hint="eastAsia"/>
              </w:rPr>
            </w:pPr>
          </w:p>
        </w:tc>
        <w:tc>
          <w:tcPr>
            <w:tcW w:w="138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0"/>
                <w:sz w:val="18"/>
                <w:szCs w:val="18"/>
              </w:rPr>
            </w:pPr>
          </w:p>
        </w:tc>
      </w:tr>
      <w:tr>
        <w:tblPrEx>
          <w:tblCellMar>
            <w:top w:w="0" w:type="dxa"/>
            <w:left w:w="108" w:type="dxa"/>
            <w:bottom w:w="0" w:type="dxa"/>
            <w:right w:w="108" w:type="dxa"/>
          </w:tblCellMar>
        </w:tblPrEx>
        <w:trPr>
          <w:trHeight w:val="342" w:hRule="atLeast"/>
          <w:jc w:val="center"/>
        </w:trPr>
        <w:tc>
          <w:tcPr>
            <w:tcW w:w="801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精细区域</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项目</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单位</w:t>
            </w:r>
          </w:p>
        </w:tc>
        <w:tc>
          <w:tcPr>
            <w:tcW w:w="12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单价</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项目</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单位</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单价</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反应釜</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干法料浆槽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反应釜出料槽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5380.2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打浆槽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828.1</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配料槽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打浆缓冲槽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828.1</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砂磨储罐</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5380.2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回流槽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1241.66</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砂磨机搅拌槽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5380.2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污水槽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污水槽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6621.86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洗液槽、白洗槽、母液槽、外排白洗槽、外排母液槽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洗液槽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7449.96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热水槽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洗液槽至生产管控中心蒸发洗液管</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13243.72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种子打浆槽、种子原料槽</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828.1</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天沟清理</w:t>
            </w:r>
          </w:p>
        </w:tc>
        <w:tc>
          <w:tcPr>
            <w:tcW w:w="75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0"/>
                <w:sz w:val="18"/>
                <w:szCs w:val="18"/>
              </w:rPr>
            </w:pP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1241.66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湿法压滤机</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828.1</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外排管送末次槽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干法压滤机</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828.1</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黄料成品液至烘干</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叶滤机</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台</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白料成品液至烘干</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精液管清理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13243.72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3#配料罐料浆送复合罐</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外排母液管清理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13243.72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沉淀池送复合罐</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外排白洗管清理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13243.72</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烘干污水送聚合岗位配料罐</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3310.44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污水槽外排管清理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盐酸槽污水送聚合岗位配料罐</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828.1</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干法送料管清理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复合罐料浆管送压滤机</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种子泵送料管清理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复合罐料浆管送反应釜</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一段倒二段管清理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循环水泵至石墨冷凝器</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二段出料管清理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循环水泵至反应釜</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种分料浆泵出料管清理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罗茨风机送料管至七车间仓顶</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合格槽出料管清理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673"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返废料罗茨风机送料管至旋风器</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3310.44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湿法厂房各层污水管清理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828.1</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白色液体至压滤机管道</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母液管清理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高温包装收尘器管道</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828.1</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白洗管清理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烘干包装口收尘管道</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根</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828.1</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洗液管清理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一段种分槽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4138.54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化清液管</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2483.32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二段分解槽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4138.54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压滤机回流管清理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精液槽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7449.96</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压滤机洗液回流管清理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种分缓冲槽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4966.64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打浆缓冲槽外排管清理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化清液槽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4138.54</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回流槽外排管清理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34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种子储槽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c>
          <w:tcPr>
            <w:tcW w:w="1855"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叶滤机出料回流管清理</w:t>
            </w:r>
          </w:p>
        </w:tc>
        <w:tc>
          <w:tcPr>
            <w:tcW w:w="86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rPr>
            </w:pPr>
            <w:r>
              <w:rPr>
                <w:rFonts w:hint="eastAsia" w:ascii="宋体" w:hAnsi="宋体" w:eastAsia="宋体" w:cs="宋体"/>
                <w:color w:val="000000"/>
                <w:kern w:val="0"/>
                <w:sz w:val="18"/>
                <w:szCs w:val="18"/>
                <w:lang w:bidi="ar"/>
              </w:rPr>
              <w:t>根</w:t>
            </w:r>
          </w:p>
        </w:tc>
        <w:tc>
          <w:tcPr>
            <w:tcW w:w="138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r>
      <w:tr>
        <w:tblPrEx>
          <w:tblCellMar>
            <w:top w:w="0" w:type="dxa"/>
            <w:left w:w="108" w:type="dxa"/>
            <w:bottom w:w="0" w:type="dxa"/>
            <w:right w:w="108" w:type="dxa"/>
          </w:tblCellMar>
        </w:tblPrEx>
        <w:trPr>
          <w:trHeight w:val="352" w:hRule="atLeast"/>
          <w:jc w:val="center"/>
        </w:trPr>
        <w:tc>
          <w:tcPr>
            <w:tcW w:w="191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合格槽</w:t>
            </w:r>
          </w:p>
        </w:tc>
        <w:tc>
          <w:tcPr>
            <w:tcW w:w="75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台</w:t>
            </w:r>
          </w:p>
        </w:tc>
        <w:tc>
          <w:tcPr>
            <w:tcW w:w="126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等线" w:hAnsi="等线" w:eastAsia="等线" w:cs="宋体"/>
                <w:color w:val="000000"/>
                <w:kern w:val="0"/>
                <w:sz w:val="18"/>
                <w:szCs w:val="18"/>
              </w:rPr>
            </w:pPr>
            <w:r>
              <w:rPr>
                <w:rFonts w:hint="eastAsia" w:ascii="等线" w:hAnsi="等线" w:eastAsia="等线" w:cs="等线"/>
                <w:color w:val="000000"/>
                <w:kern w:val="0"/>
                <w:sz w:val="18"/>
                <w:szCs w:val="18"/>
                <w:lang w:bidi="ar"/>
              </w:rPr>
              <w:t>1656.2</w:t>
            </w:r>
          </w:p>
        </w:tc>
        <w:tc>
          <w:tcPr>
            <w:tcW w:w="1855"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kern w:val="0"/>
                <w:sz w:val="18"/>
                <w:szCs w:val="18"/>
              </w:rPr>
            </w:pPr>
          </w:p>
        </w:tc>
        <w:tc>
          <w:tcPr>
            <w:tcW w:w="860" w:type="dxa"/>
            <w:tcBorders>
              <w:top w:val="nil"/>
              <w:left w:val="nil"/>
              <w:bottom w:val="single" w:color="auto" w:sz="4" w:space="0"/>
              <w:right w:val="single" w:color="auto" w:sz="4" w:space="0"/>
            </w:tcBorders>
            <w:shd w:val="clear" w:color="auto" w:fill="auto"/>
            <w:vAlign w:val="center"/>
          </w:tcPr>
          <w:p>
            <w:pPr>
              <w:jc w:val="center"/>
              <w:rPr>
                <w:rFonts w:hint="eastAsia"/>
              </w:rPr>
            </w:pPr>
          </w:p>
        </w:tc>
        <w:tc>
          <w:tcPr>
            <w:tcW w:w="1380" w:type="dxa"/>
            <w:tcBorders>
              <w:top w:val="nil"/>
              <w:left w:val="nil"/>
              <w:bottom w:val="single" w:color="auto" w:sz="4" w:space="0"/>
              <w:right w:val="single" w:color="auto" w:sz="4" w:space="0"/>
            </w:tcBorders>
            <w:shd w:val="clear" w:color="auto" w:fill="auto"/>
            <w:vAlign w:val="center"/>
          </w:tcPr>
          <w:p>
            <w:pPr>
              <w:jc w:val="center"/>
              <w:rPr>
                <w:rFonts w:hint="eastAsia" w:ascii="等线" w:hAnsi="等线" w:eastAsia="等线" w:cs="宋体"/>
                <w:color w:val="000000"/>
                <w:kern w:val="0"/>
                <w:sz w:val="18"/>
                <w:szCs w:val="18"/>
              </w:rPr>
            </w:pPr>
          </w:p>
        </w:tc>
      </w:tr>
    </w:tbl>
    <w:p>
      <w:pPr>
        <w:pStyle w:val="34"/>
      </w:pPr>
    </w:p>
    <w:p>
      <w:pPr>
        <w:tabs>
          <w:tab w:val="left" w:pos="720"/>
        </w:tabs>
        <w:spacing w:line="360" w:lineRule="auto"/>
        <w:rPr>
          <w:rFonts w:ascii="宋体"/>
          <w:color w:val="000000"/>
          <w:sz w:val="24"/>
        </w:rPr>
      </w:pPr>
      <w:r>
        <w:rPr>
          <w:rFonts w:hint="eastAsia" w:ascii="宋体" w:hAnsi="宋体"/>
          <w:color w:val="000000"/>
          <w:sz w:val="24"/>
        </w:rPr>
        <w:t>6、采购文件购买须知：</w:t>
      </w:r>
    </w:p>
    <w:p>
      <w:pPr>
        <w:spacing w:line="360" w:lineRule="auto"/>
        <w:ind w:firstLine="480" w:firstLineChars="200"/>
        <w:rPr>
          <w:rFonts w:ascii="宋体" w:hAnsi="宋体"/>
          <w:color w:val="000000"/>
          <w:sz w:val="24"/>
        </w:rPr>
      </w:pPr>
      <w:r>
        <w:rPr>
          <w:rFonts w:hint="eastAsia" w:ascii="宋体" w:hAnsi="宋体" w:cs="宋体"/>
          <w:color w:val="000000"/>
          <w:kern w:val="0"/>
          <w:sz w:val="24"/>
        </w:rPr>
        <w:t>请于联系人联系获取采购文件</w:t>
      </w:r>
      <w:r>
        <w:rPr>
          <w:rFonts w:hint="eastAsia" w:ascii="宋体" w:hAnsi="宋体"/>
          <w:color w:val="000000"/>
          <w:sz w:val="24"/>
        </w:rPr>
        <w:t>。</w:t>
      </w:r>
    </w:p>
    <w:p>
      <w:pPr>
        <w:spacing w:line="360" w:lineRule="auto"/>
        <w:ind w:firstLine="480" w:firstLineChars="200"/>
        <w:rPr>
          <w:rFonts w:hAnsi="宋体"/>
          <w:sz w:val="24"/>
          <w:szCs w:val="20"/>
        </w:rPr>
      </w:pPr>
      <w:r>
        <w:rPr>
          <w:rFonts w:hint="eastAsia" w:hAnsi="宋体"/>
          <w:sz w:val="24"/>
          <w:szCs w:val="20"/>
        </w:rPr>
        <w:t>7、采购方式和评审办法：</w:t>
      </w:r>
    </w:p>
    <w:p>
      <w:pPr>
        <w:spacing w:line="360" w:lineRule="auto"/>
        <w:ind w:firstLine="480" w:firstLineChars="200"/>
        <w:rPr>
          <w:sz w:val="24"/>
        </w:rPr>
      </w:pPr>
      <w:r>
        <w:rPr>
          <w:rFonts w:hint="eastAsia" w:hAnsi="宋体"/>
          <w:sz w:val="24"/>
          <w:szCs w:val="20"/>
        </w:rPr>
        <w:t>7.1.</w:t>
      </w:r>
      <w:r>
        <w:rPr>
          <w:rFonts w:hint="eastAsia"/>
          <w:sz w:val="24"/>
        </w:rPr>
        <w:t>采购方式：直接采购。</w:t>
      </w:r>
    </w:p>
    <w:p>
      <w:pPr>
        <w:spacing w:line="360" w:lineRule="auto"/>
        <w:ind w:firstLine="480" w:firstLineChars="200"/>
        <w:rPr>
          <w:sz w:val="24"/>
        </w:rPr>
      </w:pPr>
      <w:r>
        <w:rPr>
          <w:rFonts w:hint="eastAsia"/>
          <w:sz w:val="24"/>
        </w:rPr>
        <w:t>7.2评审办法：经评审的最低报价法</w:t>
      </w:r>
    </w:p>
    <w:p>
      <w:pPr>
        <w:spacing w:line="360" w:lineRule="auto"/>
        <w:ind w:firstLine="480" w:firstLineChars="200"/>
        <w:rPr>
          <w:rFonts w:ascii="宋体" w:hAnsi="宋体"/>
          <w:color w:val="auto"/>
          <w:sz w:val="24"/>
        </w:rPr>
      </w:pPr>
      <w:r>
        <w:rPr>
          <w:rFonts w:hint="eastAsia" w:ascii="宋体" w:hAnsi="宋体"/>
          <w:color w:val="000000" w:themeColor="text1"/>
          <w:sz w:val="24"/>
          <w14:textFill>
            <w14:solidFill>
              <w14:schemeClr w14:val="tx1"/>
            </w14:solidFill>
          </w14:textFill>
        </w:rPr>
        <w:t>8、</w:t>
      </w:r>
      <w:r>
        <w:rPr>
          <w:rFonts w:hint="eastAsia" w:ascii="宋体" w:hAnsi="宋体"/>
          <w:color w:val="auto"/>
          <w:sz w:val="24"/>
        </w:rPr>
        <w:t>报价文件获取时间：</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3</w:t>
      </w:r>
      <w:r>
        <w:rPr>
          <w:rFonts w:hint="eastAsia" w:ascii="宋体" w:hAnsi="宋体"/>
          <w:color w:val="auto"/>
          <w:sz w:val="24"/>
          <w:highlight w:val="none"/>
        </w:rPr>
        <w:t>月</w:t>
      </w:r>
      <w:r>
        <w:rPr>
          <w:rFonts w:hint="eastAsia" w:ascii="宋体" w:hAnsi="宋体"/>
          <w:color w:val="auto"/>
          <w:sz w:val="24"/>
          <w:highlight w:val="none"/>
          <w:lang w:val="en-US" w:eastAsia="zh-CN"/>
        </w:rPr>
        <w:t>6</w:t>
      </w:r>
      <w:r>
        <w:rPr>
          <w:rFonts w:hint="eastAsia" w:ascii="宋体" w:hAnsi="宋体"/>
          <w:color w:val="auto"/>
          <w:sz w:val="24"/>
          <w:highlight w:val="none"/>
        </w:rPr>
        <w:t>日至202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3</w:t>
      </w:r>
      <w:r>
        <w:rPr>
          <w:rFonts w:hint="eastAsia" w:ascii="宋体" w:hAnsi="宋体"/>
          <w:color w:val="auto"/>
          <w:sz w:val="24"/>
          <w:highlight w:val="none"/>
        </w:rPr>
        <w:t>月</w:t>
      </w:r>
      <w:r>
        <w:rPr>
          <w:rFonts w:hint="eastAsia" w:ascii="宋体" w:hAnsi="宋体"/>
          <w:color w:val="auto"/>
          <w:sz w:val="24"/>
          <w:highlight w:val="none"/>
          <w:lang w:val="en-US" w:eastAsia="zh-CN"/>
        </w:rPr>
        <w:t>8</w:t>
      </w:r>
      <w:r>
        <w:rPr>
          <w:rFonts w:hint="eastAsia" w:ascii="宋体" w:hAnsi="宋体"/>
          <w:color w:val="auto"/>
          <w:sz w:val="24"/>
          <w:highlight w:val="none"/>
        </w:rPr>
        <w:t>日16：30</w:t>
      </w:r>
      <w:r>
        <w:rPr>
          <w:rFonts w:hint="eastAsia" w:ascii="宋体" w:hAnsi="宋体"/>
          <w:color w:val="auto"/>
          <w:sz w:val="24"/>
        </w:rPr>
        <w:t>(北京时间)。</w:t>
      </w:r>
    </w:p>
    <w:p>
      <w:pPr>
        <w:spacing w:line="360" w:lineRule="auto"/>
        <w:ind w:firstLine="480" w:firstLineChars="200"/>
        <w:rPr>
          <w:rFonts w:hAnsi="宋体"/>
          <w:color w:val="auto"/>
          <w:sz w:val="24"/>
          <w:szCs w:val="20"/>
        </w:rPr>
      </w:pPr>
      <w:r>
        <w:rPr>
          <w:rFonts w:hint="eastAsia" w:ascii="宋体" w:hAnsi="宋体"/>
          <w:color w:val="auto"/>
          <w:sz w:val="24"/>
        </w:rPr>
        <w:t>9、报价文件</w:t>
      </w:r>
      <w:r>
        <w:rPr>
          <w:rFonts w:ascii="宋体" w:hAnsi="宋体"/>
          <w:color w:val="auto"/>
          <w:sz w:val="24"/>
        </w:rPr>
        <w:t>递交</w:t>
      </w:r>
      <w:r>
        <w:rPr>
          <w:rFonts w:hint="eastAsia" w:ascii="宋体" w:hAnsi="宋体"/>
          <w:color w:val="auto"/>
          <w:sz w:val="24"/>
        </w:rPr>
        <w:t>截止和采购时间</w:t>
      </w:r>
      <w:r>
        <w:rPr>
          <w:rFonts w:hint="eastAsia" w:ascii="宋体" w:hAnsi="宋体"/>
          <w:color w:val="auto"/>
          <w:sz w:val="24"/>
          <w:highlight w:val="none"/>
        </w:rPr>
        <w:t>：</w:t>
      </w:r>
      <w:r>
        <w:rPr>
          <w:rFonts w:ascii="宋体" w:hAnsi="宋体"/>
          <w:color w:val="auto"/>
          <w:sz w:val="24"/>
          <w:highlight w:val="none"/>
        </w:rPr>
        <w:t>20</w:t>
      </w:r>
      <w:r>
        <w:rPr>
          <w:rFonts w:hint="eastAsia" w:ascii="宋体" w:hAnsi="宋体"/>
          <w:color w:val="auto"/>
          <w:sz w:val="24"/>
          <w:highlight w:val="none"/>
        </w:rPr>
        <w:t>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3</w:t>
      </w:r>
      <w:r>
        <w:rPr>
          <w:rFonts w:hint="eastAsia" w:ascii="宋体" w:hAnsi="宋体"/>
          <w:color w:val="auto"/>
          <w:sz w:val="24"/>
          <w:highlight w:val="none"/>
        </w:rPr>
        <w:t>月</w:t>
      </w:r>
      <w:r>
        <w:rPr>
          <w:rFonts w:hint="eastAsia" w:ascii="宋体" w:hAnsi="宋体"/>
          <w:color w:val="auto"/>
          <w:sz w:val="24"/>
          <w:highlight w:val="none"/>
          <w:lang w:val="en-US" w:eastAsia="zh-CN"/>
        </w:rPr>
        <w:t>13</w:t>
      </w:r>
      <w:r>
        <w:rPr>
          <w:rFonts w:hint="eastAsia" w:ascii="宋体" w:hAnsi="宋体"/>
          <w:color w:val="auto"/>
          <w:sz w:val="24"/>
          <w:highlight w:val="none"/>
        </w:rPr>
        <w:t>日</w:t>
      </w:r>
      <w:r>
        <w:rPr>
          <w:rFonts w:hint="eastAsia" w:ascii="宋体" w:hAnsi="宋体"/>
          <w:color w:val="auto"/>
          <w:sz w:val="24"/>
          <w:highlight w:val="none"/>
          <w:lang w:val="en-US" w:eastAsia="zh-CN"/>
        </w:rPr>
        <w:t>10</w:t>
      </w:r>
      <w:r>
        <w:rPr>
          <w:rFonts w:hint="eastAsia" w:ascii="宋体" w:hAnsi="宋体"/>
          <w:color w:val="auto"/>
          <w:sz w:val="24"/>
          <w:highlight w:val="none"/>
        </w:rPr>
        <w:t>:</w:t>
      </w:r>
      <w:r>
        <w:rPr>
          <w:rFonts w:hint="eastAsia" w:ascii="宋体" w:hAnsi="宋体"/>
          <w:color w:val="auto"/>
          <w:sz w:val="24"/>
          <w:highlight w:val="none"/>
          <w:lang w:val="en-US" w:eastAsia="zh-CN"/>
        </w:rPr>
        <w:t>0</w:t>
      </w:r>
      <w:r>
        <w:rPr>
          <w:rFonts w:hint="eastAsia" w:ascii="宋体" w:hAnsi="宋体"/>
          <w:color w:val="auto"/>
          <w:sz w:val="24"/>
          <w:highlight w:val="none"/>
        </w:rPr>
        <w:t>0</w:t>
      </w:r>
      <w:r>
        <w:rPr>
          <w:rFonts w:ascii="宋体" w:hAnsi="宋体"/>
          <w:color w:val="auto"/>
          <w:sz w:val="24"/>
          <w:highlight w:val="none"/>
        </w:rPr>
        <w:t>(</w:t>
      </w:r>
      <w:r>
        <w:rPr>
          <w:rFonts w:hint="eastAsia" w:ascii="宋体" w:hAnsi="宋体"/>
          <w:color w:val="auto"/>
          <w:sz w:val="24"/>
          <w:highlight w:val="none"/>
        </w:rPr>
        <w:t>北京时间</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采购地点：</w:t>
      </w:r>
      <w:r>
        <w:rPr>
          <w:rFonts w:hint="eastAsia" w:ascii="宋体" w:hAnsi="宋体" w:cs="宋体"/>
          <w:color w:val="000000" w:themeColor="text1"/>
          <w:kern w:val="0"/>
          <w:sz w:val="24"/>
          <w14:textFill>
            <w14:solidFill>
              <w14:schemeClr w14:val="tx1"/>
            </w14:solidFill>
          </w14:textFill>
        </w:rPr>
        <w:t>中铝中州铝业有限公司生产管控中心</w:t>
      </w:r>
      <w:r>
        <w:rPr>
          <w:rFonts w:hint="eastAsia" w:ascii="宋体" w:hAnsi="宋体" w:cs="宋体"/>
          <w:color w:val="000000" w:themeColor="text1"/>
          <w:kern w:val="0"/>
          <w:sz w:val="24"/>
          <w:lang w:eastAsia="zh-CN"/>
          <w14:textFill>
            <w14:solidFill>
              <w14:schemeClr w14:val="tx1"/>
            </w14:solidFill>
          </w14:textFill>
        </w:rPr>
        <w:t>二</w:t>
      </w:r>
      <w:r>
        <w:rPr>
          <w:rFonts w:hint="eastAsia" w:ascii="宋体" w:hAnsi="宋体" w:cs="宋体"/>
          <w:color w:val="000000" w:themeColor="text1"/>
          <w:kern w:val="0"/>
          <w:sz w:val="24"/>
          <w14:textFill>
            <w14:solidFill>
              <w14:schemeClr w14:val="tx1"/>
            </w14:solidFill>
          </w14:textFill>
        </w:rPr>
        <w:t>楼会议室</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11、采购人：中铝中州铝业有限公司生产管控中心</w:t>
      </w:r>
    </w:p>
    <w:p>
      <w:pPr>
        <w:widowControl/>
        <w:spacing w:line="360" w:lineRule="auto"/>
        <w:ind w:firstLine="480" w:firstLineChars="200"/>
        <w:rPr>
          <w:rFonts w:ascii="宋体" w:cs="宋体"/>
          <w:sz w:val="24"/>
        </w:rPr>
      </w:pPr>
      <w:r>
        <w:rPr>
          <w:rFonts w:ascii="宋体" w:cs="宋体"/>
          <w:sz w:val="24"/>
        </w:rPr>
        <w:t> </w:t>
      </w:r>
      <w:r>
        <w:rPr>
          <w:rFonts w:hint="eastAsia" w:ascii="宋体" w:hAnsi="宋体" w:cs="宋体"/>
          <w:sz w:val="24"/>
        </w:rPr>
        <w:t>地</w:t>
      </w:r>
      <w:r>
        <w:rPr>
          <w:rFonts w:ascii="宋体" w:cs="宋体"/>
          <w:sz w:val="24"/>
        </w:rPr>
        <w:t> </w:t>
      </w:r>
      <w:r>
        <w:rPr>
          <w:rFonts w:hint="eastAsia" w:ascii="宋体" w:hAnsi="宋体" w:cs="宋体"/>
          <w:sz w:val="24"/>
        </w:rPr>
        <w:t>址：河南省修武县七贤镇中铝中州铝业有限公司</w:t>
      </w:r>
    </w:p>
    <w:p>
      <w:pPr>
        <w:widowControl/>
        <w:spacing w:line="360" w:lineRule="auto"/>
        <w:ind w:firstLine="480" w:firstLineChars="200"/>
        <w:rPr>
          <w:rFonts w:ascii="宋体" w:cs="宋体"/>
          <w:sz w:val="24"/>
        </w:rPr>
      </w:pPr>
      <w:r>
        <w:rPr>
          <w:rFonts w:ascii="宋体" w:cs="宋体"/>
          <w:sz w:val="24"/>
        </w:rPr>
        <w:t> </w:t>
      </w:r>
      <w:r>
        <w:rPr>
          <w:rFonts w:hint="eastAsia" w:ascii="宋体" w:hAnsi="宋体" w:cs="宋体"/>
          <w:sz w:val="24"/>
        </w:rPr>
        <w:t>邮</w:t>
      </w:r>
      <w:r>
        <w:rPr>
          <w:rFonts w:ascii="宋体" w:cs="宋体"/>
          <w:sz w:val="24"/>
        </w:rPr>
        <w:t> </w:t>
      </w:r>
      <w:r>
        <w:rPr>
          <w:rFonts w:hint="eastAsia" w:ascii="宋体" w:hAnsi="宋体" w:cs="宋体"/>
          <w:sz w:val="24"/>
        </w:rPr>
        <w:t>编：</w:t>
      </w:r>
      <w:r>
        <w:rPr>
          <w:rFonts w:ascii="宋体" w:hAnsi="宋体" w:cs="宋体"/>
          <w:sz w:val="24"/>
        </w:rPr>
        <w:t>454174 </w:t>
      </w:r>
    </w:p>
    <w:p>
      <w:pPr>
        <w:widowControl/>
        <w:spacing w:line="360" w:lineRule="auto"/>
        <w:ind w:firstLine="480" w:firstLineChars="200"/>
        <w:rPr>
          <w:rFonts w:hint="eastAsia" w:ascii="宋体" w:eastAsia="宋体" w:cs="宋体"/>
          <w:sz w:val="24"/>
          <w:lang w:eastAsia="zh-CN"/>
        </w:rPr>
      </w:pPr>
      <w:r>
        <w:rPr>
          <w:rFonts w:hint="eastAsia" w:ascii="宋体" w:hAnsi="宋体"/>
          <w:sz w:val="24"/>
        </w:rPr>
        <w:t>联系人：王</w:t>
      </w:r>
      <w:r>
        <w:rPr>
          <w:rFonts w:hint="eastAsia" w:ascii="宋体" w:hAnsi="宋体"/>
          <w:sz w:val="24"/>
          <w:lang w:eastAsia="zh-CN"/>
        </w:rPr>
        <w:t>先生</w:t>
      </w:r>
    </w:p>
    <w:p>
      <w:pPr>
        <w:widowControl/>
        <w:spacing w:line="360" w:lineRule="auto"/>
        <w:ind w:firstLine="480" w:firstLineChars="200"/>
        <w:rPr>
          <w:rFonts w:ascii="宋体" w:cs="宋体"/>
          <w:sz w:val="24"/>
        </w:rPr>
      </w:pPr>
      <w:r>
        <w:rPr>
          <w:rFonts w:hint="eastAsia" w:ascii="宋体" w:hAnsi="宋体" w:cs="宋体"/>
          <w:sz w:val="24"/>
        </w:rPr>
        <w:t>电话：</w:t>
      </w:r>
      <w:r>
        <w:rPr>
          <w:rFonts w:ascii="宋体" w:hAnsi="宋体" w:cs="宋体"/>
          <w:sz w:val="24"/>
        </w:rPr>
        <w:t>0391-350</w:t>
      </w:r>
      <w:r>
        <w:rPr>
          <w:rFonts w:hint="eastAsia" w:ascii="宋体" w:hAnsi="宋体" w:cs="宋体"/>
          <w:sz w:val="24"/>
        </w:rPr>
        <w:t>2508    13513826219</w:t>
      </w:r>
    </w:p>
    <w:p>
      <w:pPr>
        <w:widowControl/>
        <w:spacing w:line="360" w:lineRule="auto"/>
        <w:ind w:firstLine="480" w:firstLineChars="200"/>
        <w:rPr>
          <w:rFonts w:ascii="宋体" w:hAnsi="宋体"/>
          <w:sz w:val="24"/>
        </w:rPr>
      </w:pPr>
      <w:r>
        <w:rPr>
          <w:rFonts w:hint="eastAsia" w:ascii="宋体" w:hAnsi="宋体"/>
          <w:sz w:val="24"/>
        </w:rPr>
        <w:t>电子邮箱：</w:t>
      </w:r>
      <w:r>
        <w:rPr>
          <w:u w:val="none"/>
        </w:rPr>
        <w:fldChar w:fldCharType="begin"/>
      </w:r>
      <w:r>
        <w:rPr>
          <w:u w:val="none"/>
        </w:rPr>
        <w:instrText xml:space="preserve"> HYPERLINK "mailto:wang_huabin@zz.chalco.com.cn" </w:instrText>
      </w:r>
      <w:r>
        <w:rPr>
          <w:u w:val="none"/>
        </w:rPr>
        <w:fldChar w:fldCharType="separate"/>
      </w:r>
      <w:r>
        <w:rPr>
          <w:rStyle w:val="42"/>
          <w:rFonts w:hint="eastAsia" w:ascii="宋体" w:hAnsi="宋体"/>
          <w:sz w:val="24"/>
          <w:u w:val="none"/>
          <w:lang w:val="en-US" w:eastAsia="zh-CN"/>
        </w:rPr>
        <w:t>hb</w:t>
      </w:r>
      <w:r>
        <w:rPr>
          <w:rStyle w:val="42"/>
          <w:rFonts w:ascii="宋体" w:hAnsi="宋体"/>
          <w:sz w:val="24"/>
          <w:u w:val="none"/>
        </w:rPr>
        <w:t>_</w:t>
      </w:r>
      <w:r>
        <w:rPr>
          <w:rStyle w:val="42"/>
          <w:rFonts w:hint="eastAsia" w:ascii="宋体" w:hAnsi="宋体"/>
          <w:sz w:val="24"/>
          <w:u w:val="none"/>
          <w:lang w:val="en-US" w:eastAsia="zh-CN"/>
        </w:rPr>
        <w:t>wang134</w:t>
      </w:r>
      <w:r>
        <w:rPr>
          <w:rStyle w:val="42"/>
          <w:rFonts w:ascii="宋体" w:hAnsi="宋体"/>
          <w:sz w:val="24"/>
          <w:u w:val="none"/>
        </w:rPr>
        <w:t>@zz.chalco.com.cn</w:t>
      </w:r>
      <w:r>
        <w:rPr>
          <w:rStyle w:val="42"/>
          <w:rFonts w:ascii="宋体" w:hAnsi="宋体"/>
          <w:sz w:val="24"/>
          <w:u w:val="none"/>
        </w:rPr>
        <w:fldChar w:fldCharType="end"/>
      </w:r>
    </w:p>
    <w:p>
      <w:pPr>
        <w:spacing w:line="560" w:lineRule="exact"/>
        <w:ind w:firstLine="480" w:firstLineChars="200"/>
        <w:jc w:val="left"/>
        <w:rPr>
          <w:rFonts w:hint="eastAsia" w:ascii="宋体" w:hAnsi="宋体" w:eastAsia="宋体"/>
          <w:sz w:val="24"/>
          <w:lang w:eastAsia="zh-CN"/>
        </w:rPr>
      </w:pPr>
      <w:r>
        <w:rPr>
          <w:rFonts w:hint="eastAsia" w:ascii="宋体" w:hAnsi="宋体"/>
          <w:sz w:val="24"/>
        </w:rPr>
        <w:t>12、监督部门：</w:t>
      </w:r>
      <w:r>
        <w:rPr>
          <w:rFonts w:hint="eastAsia" w:ascii="宋体" w:hAnsi="宋体"/>
          <w:sz w:val="24"/>
          <w:lang w:eastAsia="zh-CN"/>
        </w:rPr>
        <w:t>纪委工作部</w:t>
      </w:r>
    </w:p>
    <w:p>
      <w:pPr>
        <w:spacing w:line="560" w:lineRule="exact"/>
        <w:ind w:firstLine="480" w:firstLineChars="200"/>
        <w:jc w:val="left"/>
        <w:rPr>
          <w:rFonts w:ascii="宋体" w:hAnsi="宋体"/>
          <w:sz w:val="24"/>
        </w:rPr>
      </w:pPr>
      <w:r>
        <w:rPr>
          <w:rFonts w:hint="eastAsia" w:ascii="宋体" w:hAnsi="宋体"/>
          <w:sz w:val="24"/>
        </w:rPr>
        <w:t>中铝中州铝业有限公司：0391-3503580</w:t>
      </w:r>
    </w:p>
    <w:p>
      <w:pPr>
        <w:spacing w:line="560" w:lineRule="exact"/>
        <w:ind w:firstLine="480" w:firstLineChars="200"/>
        <w:jc w:val="left"/>
        <w:rPr>
          <w:rFonts w:ascii="宋体" w:hAnsi="宋体"/>
          <w:sz w:val="24"/>
        </w:rPr>
      </w:pPr>
      <w:r>
        <w:rPr>
          <w:rFonts w:hint="eastAsia" w:ascii="宋体" w:hAnsi="宋体"/>
          <w:sz w:val="24"/>
        </w:rPr>
        <w:t>中国铝业股份有限公司：010-82298446</w:t>
      </w:r>
    </w:p>
    <w:p>
      <w:pPr>
        <w:spacing w:line="560" w:lineRule="exact"/>
        <w:ind w:firstLine="480" w:firstLineChars="200"/>
        <w:jc w:val="left"/>
        <w:rPr>
          <w:rFonts w:ascii="宋体" w:hAnsi="宋体"/>
          <w:sz w:val="24"/>
        </w:rPr>
      </w:pPr>
      <w:r>
        <w:rPr>
          <w:rFonts w:hint="eastAsia" w:ascii="宋体" w:hAnsi="宋体"/>
          <w:sz w:val="24"/>
        </w:rPr>
        <w:t>中国铝业集团有限公司：010-82298683</w:t>
      </w:r>
    </w:p>
    <w:p>
      <w:pPr>
        <w:spacing w:line="560" w:lineRule="exact"/>
        <w:ind w:firstLine="480" w:firstLineChars="200"/>
        <w:jc w:val="left"/>
        <w:rPr>
          <w:rFonts w:ascii="宋体" w:hAnsi="宋体"/>
          <w:sz w:val="24"/>
        </w:rPr>
      </w:pPr>
      <w:r>
        <w:rPr>
          <w:rFonts w:hint="eastAsia" w:ascii="宋体" w:hAnsi="宋体"/>
          <w:sz w:val="24"/>
        </w:rPr>
        <w:t>邮箱：zzlyjw02@126.com</w:t>
      </w:r>
    </w:p>
    <w:p>
      <w:pPr>
        <w:spacing w:line="360" w:lineRule="auto"/>
        <w:ind w:firstLine="480" w:firstLineChars="200"/>
        <w:rPr>
          <w:rFonts w:ascii="宋体"/>
          <w:sz w:val="24"/>
        </w:rPr>
      </w:pPr>
      <w:r>
        <w:rPr>
          <w:rFonts w:hint="eastAsia" w:ascii="宋体" w:hAnsi="宋体"/>
          <w:sz w:val="24"/>
        </w:rPr>
        <w:t>13、</w:t>
      </w:r>
      <w:r>
        <w:rPr>
          <w:rFonts w:hint="eastAsia" w:ascii="宋体" w:hAnsi="宋体"/>
          <w:kern w:val="0"/>
          <w:sz w:val="24"/>
        </w:rPr>
        <w:t>发布媒体</w:t>
      </w:r>
      <w:r>
        <w:rPr>
          <w:rFonts w:hint="eastAsia" w:ascii="宋体" w:hAnsi="宋体"/>
          <w:sz w:val="24"/>
        </w:rPr>
        <w:t>：</w:t>
      </w:r>
      <w:r>
        <w:rPr>
          <w:rFonts w:hint="eastAsia" w:ascii="宋体" w:hAnsi="宋体"/>
          <w:kern w:val="0"/>
          <w:sz w:val="24"/>
        </w:rPr>
        <w:t>我公司仅在</w:t>
      </w:r>
      <w:r>
        <w:rPr>
          <w:rFonts w:hint="eastAsia" w:hAnsi="宋体"/>
          <w:sz w:val="24"/>
        </w:rPr>
        <w:t>中铝中州铝业有限公司（</w:t>
      </w:r>
      <w:r>
        <w:rPr>
          <w:rFonts w:hAnsi="宋体"/>
          <w:color w:val="000000" w:themeColor="text1"/>
          <w:sz w:val="24"/>
          <w14:textFill>
            <w14:solidFill>
              <w14:schemeClr w14:val="tx1"/>
            </w14:solidFill>
          </w14:textFill>
        </w:rPr>
        <w:t>https://zzly.chinalco.com.cn/</w:t>
      </w:r>
      <w:r>
        <w:rPr>
          <w:rFonts w:hint="eastAsia" w:hAnsi="宋体"/>
          <w:sz w:val="24"/>
        </w:rPr>
        <w:t>）</w:t>
      </w:r>
      <w:r>
        <w:rPr>
          <w:rFonts w:hint="eastAsia" w:ascii="宋体" w:hAnsi="宋体"/>
          <w:kern w:val="0"/>
          <w:sz w:val="24"/>
        </w:rPr>
        <w:t>发布有关该项目的采购信息</w:t>
      </w:r>
      <w:r>
        <w:rPr>
          <w:rFonts w:hint="eastAsia" w:ascii="宋体" w:hAnsi="宋体"/>
          <w:sz w:val="24"/>
        </w:rPr>
        <w:t>，</w:t>
      </w:r>
      <w:r>
        <w:rPr>
          <w:rFonts w:hint="eastAsia" w:ascii="宋体" w:hAnsi="宋体"/>
          <w:kern w:val="0"/>
          <w:sz w:val="24"/>
        </w:rPr>
        <w:t>我公司郑重提醒各报价人注意：与该项目相关采购事宜均须与我公司指定人员联系，我公司对任何转载信息及由此产生的后果均不承担任何责任。</w:t>
      </w:r>
    </w:p>
    <w:p/>
    <w:p>
      <w:pPr>
        <w:pStyle w:val="3"/>
        <w:spacing w:before="240" w:after="192" w:line="560" w:lineRule="exact"/>
        <w:jc w:val="center"/>
        <w:rPr>
          <w:rFonts w:hint="eastAsia" w:ascii="华文中宋" w:hAnsi="华文中宋" w:eastAsia="华文中宋" w:cs="华文中宋"/>
          <w:sz w:val="36"/>
          <w:szCs w:val="36"/>
        </w:rPr>
      </w:pPr>
    </w:p>
    <w:p>
      <w:pPr>
        <w:spacing w:line="360" w:lineRule="auto"/>
        <w:ind w:firstLine="470" w:firstLineChars="196"/>
        <w:jc w:val="left"/>
        <w:rPr>
          <w:rFonts w:cs="仿宋_GB2312" w:asciiTheme="minorEastAsia" w:hAnsiTheme="minorEastAsia" w:eastAsiaTheme="minorEastAsia"/>
          <w:sz w:val="24"/>
        </w:rPr>
      </w:pPr>
    </w:p>
    <w:sectPr>
      <w:footerReference r:id="rId3" w:type="default"/>
      <w:pgSz w:w="11907" w:h="16840"/>
      <w:pgMar w:top="1134" w:right="1134" w:bottom="1134" w:left="1134" w:header="680" w:footer="907" w:gutter="0"/>
      <w:pgNumType w:chapStyle="1"/>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087" w:usb1="28AF4000" w:usb2="00000016" w:usb3="00000000" w:csb0="00100009"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2</w:t>
                          </w:r>
                          <w:r>
                            <w:rPr>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nqzVF0AAAAAMBAAAPAAAAAAAAAAEAIAAAACIAAABkcnMvZG93bnJldi54bWxQSwEC&#10;FAAUAAAACACHTuJAvy5e9PwBAAAOBAAADgAAAAAAAAABACAAAAAfAQAAZHJzL2Uyb0RvYy54bWxQ&#10;SwUGAAAAAAYABgBZAQAAjQ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2</w:t>
                    </w:r>
                    <w:r>
                      <w:rPr>
                        <w:sz w:val="18"/>
                      </w:rPr>
                      <w:fldChar w:fldCharType="end"/>
                    </w:r>
                  </w:p>
                </w:txbxContent>
              </v:textbox>
            </v:shape>
          </w:pict>
        </mc:Fallback>
      </mc:AlternateContent>
    </w:r>
  </w:p>
  <w:p>
    <w:pPr>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FA47B"/>
    <w:multiLevelType w:val="singleLevel"/>
    <w:tmpl w:val="16EFA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4"/>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MTY3ODU5MzI0ZTQ1MTRhM2I3NDA1MDYzZTFmY2EifQ=="/>
  </w:docVars>
  <w:rsids>
    <w:rsidRoot w:val="00A33300"/>
    <w:rsid w:val="0000040C"/>
    <w:rsid w:val="00002EA8"/>
    <w:rsid w:val="00004699"/>
    <w:rsid w:val="000054A7"/>
    <w:rsid w:val="00006076"/>
    <w:rsid w:val="0000622E"/>
    <w:rsid w:val="00006D07"/>
    <w:rsid w:val="00007F7D"/>
    <w:rsid w:val="000104DF"/>
    <w:rsid w:val="00010675"/>
    <w:rsid w:val="0001228F"/>
    <w:rsid w:val="00012848"/>
    <w:rsid w:val="000205F6"/>
    <w:rsid w:val="00020DCF"/>
    <w:rsid w:val="00021FFB"/>
    <w:rsid w:val="00022198"/>
    <w:rsid w:val="00022332"/>
    <w:rsid w:val="00024FD4"/>
    <w:rsid w:val="000263D0"/>
    <w:rsid w:val="00026CD3"/>
    <w:rsid w:val="00027FE0"/>
    <w:rsid w:val="0003143F"/>
    <w:rsid w:val="00032440"/>
    <w:rsid w:val="000335B9"/>
    <w:rsid w:val="000348BC"/>
    <w:rsid w:val="00034A09"/>
    <w:rsid w:val="0003623E"/>
    <w:rsid w:val="000363A6"/>
    <w:rsid w:val="0004099C"/>
    <w:rsid w:val="00040D01"/>
    <w:rsid w:val="00040EBB"/>
    <w:rsid w:val="00042B7D"/>
    <w:rsid w:val="00044F49"/>
    <w:rsid w:val="000456BD"/>
    <w:rsid w:val="00045754"/>
    <w:rsid w:val="0004653E"/>
    <w:rsid w:val="0005013C"/>
    <w:rsid w:val="000515C3"/>
    <w:rsid w:val="00051A4A"/>
    <w:rsid w:val="00051C22"/>
    <w:rsid w:val="00053C52"/>
    <w:rsid w:val="00053EF4"/>
    <w:rsid w:val="00056947"/>
    <w:rsid w:val="00056CF4"/>
    <w:rsid w:val="000578F9"/>
    <w:rsid w:val="00060335"/>
    <w:rsid w:val="000611EF"/>
    <w:rsid w:val="00062A4B"/>
    <w:rsid w:val="00062C71"/>
    <w:rsid w:val="00062FEE"/>
    <w:rsid w:val="00063621"/>
    <w:rsid w:val="000643E2"/>
    <w:rsid w:val="0006491F"/>
    <w:rsid w:val="0006497C"/>
    <w:rsid w:val="000655EE"/>
    <w:rsid w:val="000660EF"/>
    <w:rsid w:val="00066B09"/>
    <w:rsid w:val="00067034"/>
    <w:rsid w:val="000706D4"/>
    <w:rsid w:val="00071332"/>
    <w:rsid w:val="000729F5"/>
    <w:rsid w:val="00073964"/>
    <w:rsid w:val="000759E8"/>
    <w:rsid w:val="00075C20"/>
    <w:rsid w:val="00076934"/>
    <w:rsid w:val="00077D82"/>
    <w:rsid w:val="00080966"/>
    <w:rsid w:val="00081C56"/>
    <w:rsid w:val="00082FD4"/>
    <w:rsid w:val="000841A2"/>
    <w:rsid w:val="00091B2D"/>
    <w:rsid w:val="0009205C"/>
    <w:rsid w:val="000921D4"/>
    <w:rsid w:val="00093127"/>
    <w:rsid w:val="000939F2"/>
    <w:rsid w:val="00093D11"/>
    <w:rsid w:val="00094B48"/>
    <w:rsid w:val="0009545B"/>
    <w:rsid w:val="000A014D"/>
    <w:rsid w:val="000A0DB2"/>
    <w:rsid w:val="000A51D1"/>
    <w:rsid w:val="000B12C5"/>
    <w:rsid w:val="000B2B0E"/>
    <w:rsid w:val="000B37B9"/>
    <w:rsid w:val="000B5BDA"/>
    <w:rsid w:val="000B5FB6"/>
    <w:rsid w:val="000B6AC8"/>
    <w:rsid w:val="000C1E7C"/>
    <w:rsid w:val="000C2CFA"/>
    <w:rsid w:val="000C36C2"/>
    <w:rsid w:val="000C66BB"/>
    <w:rsid w:val="000C6A05"/>
    <w:rsid w:val="000C70AE"/>
    <w:rsid w:val="000C7832"/>
    <w:rsid w:val="000D1B5D"/>
    <w:rsid w:val="000D2B71"/>
    <w:rsid w:val="000D3CFE"/>
    <w:rsid w:val="000D43AF"/>
    <w:rsid w:val="000D4F04"/>
    <w:rsid w:val="000D606A"/>
    <w:rsid w:val="000D72F2"/>
    <w:rsid w:val="000E0CB7"/>
    <w:rsid w:val="000E6940"/>
    <w:rsid w:val="000E7C44"/>
    <w:rsid w:val="000F045C"/>
    <w:rsid w:val="000F1485"/>
    <w:rsid w:val="000F2585"/>
    <w:rsid w:val="000F2E3C"/>
    <w:rsid w:val="000F304D"/>
    <w:rsid w:val="000F3EB8"/>
    <w:rsid w:val="000F51CC"/>
    <w:rsid w:val="000F5263"/>
    <w:rsid w:val="000F6FF9"/>
    <w:rsid w:val="000F720F"/>
    <w:rsid w:val="000F752C"/>
    <w:rsid w:val="00100D37"/>
    <w:rsid w:val="001016C5"/>
    <w:rsid w:val="0010322F"/>
    <w:rsid w:val="001037D8"/>
    <w:rsid w:val="00103CA6"/>
    <w:rsid w:val="001041F6"/>
    <w:rsid w:val="00104425"/>
    <w:rsid w:val="001050CE"/>
    <w:rsid w:val="00106AC7"/>
    <w:rsid w:val="00106F3A"/>
    <w:rsid w:val="0011086F"/>
    <w:rsid w:val="00111803"/>
    <w:rsid w:val="001151BD"/>
    <w:rsid w:val="00117E74"/>
    <w:rsid w:val="00120182"/>
    <w:rsid w:val="0012221D"/>
    <w:rsid w:val="00122A26"/>
    <w:rsid w:val="00123601"/>
    <w:rsid w:val="00125C49"/>
    <w:rsid w:val="00132FA8"/>
    <w:rsid w:val="00133DC2"/>
    <w:rsid w:val="00137DFE"/>
    <w:rsid w:val="00141C20"/>
    <w:rsid w:val="00142667"/>
    <w:rsid w:val="00144D98"/>
    <w:rsid w:val="00150B6B"/>
    <w:rsid w:val="00151FA6"/>
    <w:rsid w:val="00153739"/>
    <w:rsid w:val="00153DB3"/>
    <w:rsid w:val="001546B8"/>
    <w:rsid w:val="00154848"/>
    <w:rsid w:val="00154AE5"/>
    <w:rsid w:val="00155EDE"/>
    <w:rsid w:val="0015732B"/>
    <w:rsid w:val="00160D49"/>
    <w:rsid w:val="001623CD"/>
    <w:rsid w:val="00162D35"/>
    <w:rsid w:val="00163F79"/>
    <w:rsid w:val="001651D3"/>
    <w:rsid w:val="001652B6"/>
    <w:rsid w:val="00172933"/>
    <w:rsid w:val="00172F47"/>
    <w:rsid w:val="00173A4A"/>
    <w:rsid w:val="001742FF"/>
    <w:rsid w:val="00175418"/>
    <w:rsid w:val="00175573"/>
    <w:rsid w:val="00175D0F"/>
    <w:rsid w:val="00181278"/>
    <w:rsid w:val="001819F7"/>
    <w:rsid w:val="00185311"/>
    <w:rsid w:val="001854D8"/>
    <w:rsid w:val="001918D2"/>
    <w:rsid w:val="0019240E"/>
    <w:rsid w:val="001924E0"/>
    <w:rsid w:val="00192EC1"/>
    <w:rsid w:val="00193C74"/>
    <w:rsid w:val="001957F3"/>
    <w:rsid w:val="00195D51"/>
    <w:rsid w:val="0019640A"/>
    <w:rsid w:val="001A1495"/>
    <w:rsid w:val="001A1E56"/>
    <w:rsid w:val="001A2684"/>
    <w:rsid w:val="001A2A5F"/>
    <w:rsid w:val="001A3060"/>
    <w:rsid w:val="001A39D1"/>
    <w:rsid w:val="001A4E38"/>
    <w:rsid w:val="001A542B"/>
    <w:rsid w:val="001A6CF9"/>
    <w:rsid w:val="001B24F4"/>
    <w:rsid w:val="001B3BB4"/>
    <w:rsid w:val="001B4286"/>
    <w:rsid w:val="001B59A5"/>
    <w:rsid w:val="001B6758"/>
    <w:rsid w:val="001C0F5A"/>
    <w:rsid w:val="001C1488"/>
    <w:rsid w:val="001C2CB6"/>
    <w:rsid w:val="001C7CB4"/>
    <w:rsid w:val="001D0D03"/>
    <w:rsid w:val="001D0FE4"/>
    <w:rsid w:val="001D2C75"/>
    <w:rsid w:val="001D3212"/>
    <w:rsid w:val="001D3C43"/>
    <w:rsid w:val="001D41DE"/>
    <w:rsid w:val="001D49E8"/>
    <w:rsid w:val="001D64BB"/>
    <w:rsid w:val="001E0503"/>
    <w:rsid w:val="001E1D30"/>
    <w:rsid w:val="001E1FCA"/>
    <w:rsid w:val="001E4108"/>
    <w:rsid w:val="001F034D"/>
    <w:rsid w:val="001F0C48"/>
    <w:rsid w:val="001F1100"/>
    <w:rsid w:val="001F17FD"/>
    <w:rsid w:val="001F23E1"/>
    <w:rsid w:val="001F3625"/>
    <w:rsid w:val="001F429B"/>
    <w:rsid w:val="001F5B77"/>
    <w:rsid w:val="001F754F"/>
    <w:rsid w:val="001F7976"/>
    <w:rsid w:val="00200386"/>
    <w:rsid w:val="002014C4"/>
    <w:rsid w:val="00205A60"/>
    <w:rsid w:val="00206433"/>
    <w:rsid w:val="002124C1"/>
    <w:rsid w:val="0021338B"/>
    <w:rsid w:val="002137E3"/>
    <w:rsid w:val="0021657E"/>
    <w:rsid w:val="00220578"/>
    <w:rsid w:val="00221A69"/>
    <w:rsid w:val="00224716"/>
    <w:rsid w:val="00224822"/>
    <w:rsid w:val="002259B3"/>
    <w:rsid w:val="00225BF0"/>
    <w:rsid w:val="00226AF9"/>
    <w:rsid w:val="00233E36"/>
    <w:rsid w:val="00233E8E"/>
    <w:rsid w:val="00234895"/>
    <w:rsid w:val="00237331"/>
    <w:rsid w:val="00237845"/>
    <w:rsid w:val="00237E5B"/>
    <w:rsid w:val="002422B9"/>
    <w:rsid w:val="00250669"/>
    <w:rsid w:val="002535E4"/>
    <w:rsid w:val="00255271"/>
    <w:rsid w:val="00255D28"/>
    <w:rsid w:val="002622DD"/>
    <w:rsid w:val="002636CF"/>
    <w:rsid w:val="00263E90"/>
    <w:rsid w:val="00264375"/>
    <w:rsid w:val="00266C8D"/>
    <w:rsid w:val="00267452"/>
    <w:rsid w:val="00267C16"/>
    <w:rsid w:val="00270D73"/>
    <w:rsid w:val="00271DFC"/>
    <w:rsid w:val="0027290A"/>
    <w:rsid w:val="00274A22"/>
    <w:rsid w:val="00274CA2"/>
    <w:rsid w:val="00275811"/>
    <w:rsid w:val="00276AE7"/>
    <w:rsid w:val="00277555"/>
    <w:rsid w:val="00277903"/>
    <w:rsid w:val="00280854"/>
    <w:rsid w:val="00281813"/>
    <w:rsid w:val="00283BBB"/>
    <w:rsid w:val="00285666"/>
    <w:rsid w:val="0028707C"/>
    <w:rsid w:val="00287CF4"/>
    <w:rsid w:val="0029116E"/>
    <w:rsid w:val="002918FC"/>
    <w:rsid w:val="00291908"/>
    <w:rsid w:val="00291BB5"/>
    <w:rsid w:val="00293024"/>
    <w:rsid w:val="002930BC"/>
    <w:rsid w:val="00293234"/>
    <w:rsid w:val="00294C77"/>
    <w:rsid w:val="002953AC"/>
    <w:rsid w:val="00295C5F"/>
    <w:rsid w:val="00295FFB"/>
    <w:rsid w:val="00297000"/>
    <w:rsid w:val="002A08D2"/>
    <w:rsid w:val="002A23AC"/>
    <w:rsid w:val="002A3338"/>
    <w:rsid w:val="002A3690"/>
    <w:rsid w:val="002A3E2B"/>
    <w:rsid w:val="002A5E18"/>
    <w:rsid w:val="002A6951"/>
    <w:rsid w:val="002A755A"/>
    <w:rsid w:val="002B05BC"/>
    <w:rsid w:val="002B1CA2"/>
    <w:rsid w:val="002B20C4"/>
    <w:rsid w:val="002B2458"/>
    <w:rsid w:val="002B2DA3"/>
    <w:rsid w:val="002B39E5"/>
    <w:rsid w:val="002B3F8D"/>
    <w:rsid w:val="002B4464"/>
    <w:rsid w:val="002B6C0D"/>
    <w:rsid w:val="002B7AAB"/>
    <w:rsid w:val="002C18A5"/>
    <w:rsid w:val="002C19F7"/>
    <w:rsid w:val="002C3DDA"/>
    <w:rsid w:val="002C4E45"/>
    <w:rsid w:val="002D141B"/>
    <w:rsid w:val="002D24F1"/>
    <w:rsid w:val="002D2B72"/>
    <w:rsid w:val="002D378F"/>
    <w:rsid w:val="002D4688"/>
    <w:rsid w:val="002D4AEB"/>
    <w:rsid w:val="002D6046"/>
    <w:rsid w:val="002D6915"/>
    <w:rsid w:val="002E06D1"/>
    <w:rsid w:val="002E0F95"/>
    <w:rsid w:val="002E24F1"/>
    <w:rsid w:val="002E31CC"/>
    <w:rsid w:val="002E3BB2"/>
    <w:rsid w:val="002E404F"/>
    <w:rsid w:val="002E4B6B"/>
    <w:rsid w:val="002E4DCA"/>
    <w:rsid w:val="002E5A9D"/>
    <w:rsid w:val="002E6949"/>
    <w:rsid w:val="002E72DC"/>
    <w:rsid w:val="002E7CB2"/>
    <w:rsid w:val="002F16DD"/>
    <w:rsid w:val="002F2AAF"/>
    <w:rsid w:val="002F69C1"/>
    <w:rsid w:val="002F7618"/>
    <w:rsid w:val="002F78C8"/>
    <w:rsid w:val="003018E7"/>
    <w:rsid w:val="00301CBE"/>
    <w:rsid w:val="00302548"/>
    <w:rsid w:val="003034E3"/>
    <w:rsid w:val="00305115"/>
    <w:rsid w:val="0030596E"/>
    <w:rsid w:val="00305AE8"/>
    <w:rsid w:val="003062C1"/>
    <w:rsid w:val="00306ADB"/>
    <w:rsid w:val="00307039"/>
    <w:rsid w:val="00311E19"/>
    <w:rsid w:val="00311EC4"/>
    <w:rsid w:val="00324EB2"/>
    <w:rsid w:val="003276C4"/>
    <w:rsid w:val="00330A4E"/>
    <w:rsid w:val="00334906"/>
    <w:rsid w:val="00334F8B"/>
    <w:rsid w:val="00336DE5"/>
    <w:rsid w:val="003411B2"/>
    <w:rsid w:val="00342643"/>
    <w:rsid w:val="00345EDA"/>
    <w:rsid w:val="00350E7B"/>
    <w:rsid w:val="00354A6C"/>
    <w:rsid w:val="00354D54"/>
    <w:rsid w:val="00356E85"/>
    <w:rsid w:val="00357AFE"/>
    <w:rsid w:val="0036145E"/>
    <w:rsid w:val="00361835"/>
    <w:rsid w:val="003626A5"/>
    <w:rsid w:val="00362D11"/>
    <w:rsid w:val="0036366F"/>
    <w:rsid w:val="00363FFE"/>
    <w:rsid w:val="00364E2A"/>
    <w:rsid w:val="003651CC"/>
    <w:rsid w:val="00366A11"/>
    <w:rsid w:val="00370378"/>
    <w:rsid w:val="0037251C"/>
    <w:rsid w:val="003727BD"/>
    <w:rsid w:val="003731FD"/>
    <w:rsid w:val="00373E41"/>
    <w:rsid w:val="00375567"/>
    <w:rsid w:val="003759C8"/>
    <w:rsid w:val="00376002"/>
    <w:rsid w:val="00376BFA"/>
    <w:rsid w:val="00377D65"/>
    <w:rsid w:val="003804AD"/>
    <w:rsid w:val="003817E5"/>
    <w:rsid w:val="003820B1"/>
    <w:rsid w:val="00382CC3"/>
    <w:rsid w:val="003839B3"/>
    <w:rsid w:val="00385118"/>
    <w:rsid w:val="0038549A"/>
    <w:rsid w:val="00386448"/>
    <w:rsid w:val="00386D58"/>
    <w:rsid w:val="00386F1F"/>
    <w:rsid w:val="00387636"/>
    <w:rsid w:val="0039079C"/>
    <w:rsid w:val="0039288D"/>
    <w:rsid w:val="003954B9"/>
    <w:rsid w:val="003960B9"/>
    <w:rsid w:val="003968BF"/>
    <w:rsid w:val="00397C87"/>
    <w:rsid w:val="003A05DB"/>
    <w:rsid w:val="003A070A"/>
    <w:rsid w:val="003A0C14"/>
    <w:rsid w:val="003A0C23"/>
    <w:rsid w:val="003A1371"/>
    <w:rsid w:val="003A2314"/>
    <w:rsid w:val="003A26AC"/>
    <w:rsid w:val="003A30E1"/>
    <w:rsid w:val="003A5C56"/>
    <w:rsid w:val="003A6727"/>
    <w:rsid w:val="003A6E8E"/>
    <w:rsid w:val="003A6EE2"/>
    <w:rsid w:val="003B0CFD"/>
    <w:rsid w:val="003B1348"/>
    <w:rsid w:val="003B198F"/>
    <w:rsid w:val="003B2F0C"/>
    <w:rsid w:val="003B42DD"/>
    <w:rsid w:val="003B4F66"/>
    <w:rsid w:val="003B52AC"/>
    <w:rsid w:val="003B5B67"/>
    <w:rsid w:val="003B701A"/>
    <w:rsid w:val="003B7B17"/>
    <w:rsid w:val="003B7DA1"/>
    <w:rsid w:val="003C0BDA"/>
    <w:rsid w:val="003C25B4"/>
    <w:rsid w:val="003C704A"/>
    <w:rsid w:val="003C7484"/>
    <w:rsid w:val="003C7D42"/>
    <w:rsid w:val="003D01DC"/>
    <w:rsid w:val="003D0D69"/>
    <w:rsid w:val="003D2D02"/>
    <w:rsid w:val="003D364A"/>
    <w:rsid w:val="003D53AD"/>
    <w:rsid w:val="003D7A1F"/>
    <w:rsid w:val="003D7B26"/>
    <w:rsid w:val="003D7EF8"/>
    <w:rsid w:val="003E045D"/>
    <w:rsid w:val="003E0A65"/>
    <w:rsid w:val="003E3182"/>
    <w:rsid w:val="003E7344"/>
    <w:rsid w:val="003E7A71"/>
    <w:rsid w:val="003F4130"/>
    <w:rsid w:val="003F66F2"/>
    <w:rsid w:val="003F76DD"/>
    <w:rsid w:val="0040401C"/>
    <w:rsid w:val="00404B1C"/>
    <w:rsid w:val="00406E0B"/>
    <w:rsid w:val="004076DD"/>
    <w:rsid w:val="00407E43"/>
    <w:rsid w:val="00410066"/>
    <w:rsid w:val="0041067D"/>
    <w:rsid w:val="00410D8F"/>
    <w:rsid w:val="00411F45"/>
    <w:rsid w:val="00414647"/>
    <w:rsid w:val="00414F5A"/>
    <w:rsid w:val="00415A82"/>
    <w:rsid w:val="00415F2E"/>
    <w:rsid w:val="0041792E"/>
    <w:rsid w:val="004201E9"/>
    <w:rsid w:val="00420E71"/>
    <w:rsid w:val="00422137"/>
    <w:rsid w:val="00422C03"/>
    <w:rsid w:val="00427115"/>
    <w:rsid w:val="0043003B"/>
    <w:rsid w:val="00433D4B"/>
    <w:rsid w:val="00435449"/>
    <w:rsid w:val="0044092C"/>
    <w:rsid w:val="0044193D"/>
    <w:rsid w:val="00443852"/>
    <w:rsid w:val="0044506B"/>
    <w:rsid w:val="00445A66"/>
    <w:rsid w:val="004470AE"/>
    <w:rsid w:val="004479BD"/>
    <w:rsid w:val="004500D1"/>
    <w:rsid w:val="00450E98"/>
    <w:rsid w:val="00452091"/>
    <w:rsid w:val="00461322"/>
    <w:rsid w:val="004640B7"/>
    <w:rsid w:val="0046480E"/>
    <w:rsid w:val="004651FA"/>
    <w:rsid w:val="00466432"/>
    <w:rsid w:val="0047185E"/>
    <w:rsid w:val="00473C87"/>
    <w:rsid w:val="0047480F"/>
    <w:rsid w:val="004758DE"/>
    <w:rsid w:val="00476AF0"/>
    <w:rsid w:val="00477557"/>
    <w:rsid w:val="00481818"/>
    <w:rsid w:val="00481E8A"/>
    <w:rsid w:val="004865DA"/>
    <w:rsid w:val="0049077F"/>
    <w:rsid w:val="00490A2F"/>
    <w:rsid w:val="00490C0B"/>
    <w:rsid w:val="0049337C"/>
    <w:rsid w:val="00493965"/>
    <w:rsid w:val="004976B8"/>
    <w:rsid w:val="00497CF2"/>
    <w:rsid w:val="00497CFB"/>
    <w:rsid w:val="004A0103"/>
    <w:rsid w:val="004A0176"/>
    <w:rsid w:val="004A23D1"/>
    <w:rsid w:val="004A2DCE"/>
    <w:rsid w:val="004A3AC6"/>
    <w:rsid w:val="004A3C9B"/>
    <w:rsid w:val="004A4645"/>
    <w:rsid w:val="004A4D44"/>
    <w:rsid w:val="004A4D62"/>
    <w:rsid w:val="004A4E8A"/>
    <w:rsid w:val="004A4ED3"/>
    <w:rsid w:val="004A5F87"/>
    <w:rsid w:val="004A66CC"/>
    <w:rsid w:val="004A684E"/>
    <w:rsid w:val="004B0F76"/>
    <w:rsid w:val="004B13E7"/>
    <w:rsid w:val="004B15D6"/>
    <w:rsid w:val="004B2D8D"/>
    <w:rsid w:val="004B3537"/>
    <w:rsid w:val="004B42A3"/>
    <w:rsid w:val="004B4AAC"/>
    <w:rsid w:val="004B5BFE"/>
    <w:rsid w:val="004B5D34"/>
    <w:rsid w:val="004C19D6"/>
    <w:rsid w:val="004C1DF8"/>
    <w:rsid w:val="004C3E5C"/>
    <w:rsid w:val="004C5003"/>
    <w:rsid w:val="004C58EC"/>
    <w:rsid w:val="004C5AB6"/>
    <w:rsid w:val="004C6DBE"/>
    <w:rsid w:val="004C774A"/>
    <w:rsid w:val="004D0937"/>
    <w:rsid w:val="004D459F"/>
    <w:rsid w:val="004D5864"/>
    <w:rsid w:val="004D5AE3"/>
    <w:rsid w:val="004D5D0D"/>
    <w:rsid w:val="004D6EB9"/>
    <w:rsid w:val="004E195E"/>
    <w:rsid w:val="004E1979"/>
    <w:rsid w:val="004E20DA"/>
    <w:rsid w:val="004E4308"/>
    <w:rsid w:val="004E7304"/>
    <w:rsid w:val="004F014A"/>
    <w:rsid w:val="004F0F20"/>
    <w:rsid w:val="004F0FB5"/>
    <w:rsid w:val="004F27A6"/>
    <w:rsid w:val="004F3772"/>
    <w:rsid w:val="004F52E1"/>
    <w:rsid w:val="004F6ED9"/>
    <w:rsid w:val="00501A92"/>
    <w:rsid w:val="00502DEB"/>
    <w:rsid w:val="00503F28"/>
    <w:rsid w:val="00504733"/>
    <w:rsid w:val="00504C61"/>
    <w:rsid w:val="0050590C"/>
    <w:rsid w:val="005076D5"/>
    <w:rsid w:val="0051192D"/>
    <w:rsid w:val="00511B5B"/>
    <w:rsid w:val="00514185"/>
    <w:rsid w:val="0051697D"/>
    <w:rsid w:val="00517F3D"/>
    <w:rsid w:val="00520AD7"/>
    <w:rsid w:val="00520AFF"/>
    <w:rsid w:val="00520B36"/>
    <w:rsid w:val="0052306B"/>
    <w:rsid w:val="00523256"/>
    <w:rsid w:val="005233BE"/>
    <w:rsid w:val="00523A59"/>
    <w:rsid w:val="005242FE"/>
    <w:rsid w:val="005245F5"/>
    <w:rsid w:val="0052506C"/>
    <w:rsid w:val="00525192"/>
    <w:rsid w:val="0052532E"/>
    <w:rsid w:val="005259F1"/>
    <w:rsid w:val="00526320"/>
    <w:rsid w:val="00526340"/>
    <w:rsid w:val="005263BD"/>
    <w:rsid w:val="00534116"/>
    <w:rsid w:val="00535BE0"/>
    <w:rsid w:val="00536DB1"/>
    <w:rsid w:val="00537825"/>
    <w:rsid w:val="00540430"/>
    <w:rsid w:val="0054080B"/>
    <w:rsid w:val="00541DE0"/>
    <w:rsid w:val="005421BF"/>
    <w:rsid w:val="0054227F"/>
    <w:rsid w:val="005538C5"/>
    <w:rsid w:val="00554B51"/>
    <w:rsid w:val="00557379"/>
    <w:rsid w:val="00557C03"/>
    <w:rsid w:val="00561822"/>
    <w:rsid w:val="00562AFB"/>
    <w:rsid w:val="00563B64"/>
    <w:rsid w:val="005647DA"/>
    <w:rsid w:val="005667BB"/>
    <w:rsid w:val="00570520"/>
    <w:rsid w:val="00570745"/>
    <w:rsid w:val="00572024"/>
    <w:rsid w:val="005729F9"/>
    <w:rsid w:val="00573A19"/>
    <w:rsid w:val="00573DDA"/>
    <w:rsid w:val="00574C72"/>
    <w:rsid w:val="00575A9F"/>
    <w:rsid w:val="005761AC"/>
    <w:rsid w:val="0057680F"/>
    <w:rsid w:val="005777CF"/>
    <w:rsid w:val="00581872"/>
    <w:rsid w:val="00582B11"/>
    <w:rsid w:val="005839FA"/>
    <w:rsid w:val="00583D9F"/>
    <w:rsid w:val="00584523"/>
    <w:rsid w:val="00584D04"/>
    <w:rsid w:val="00585A7D"/>
    <w:rsid w:val="00586736"/>
    <w:rsid w:val="0059097D"/>
    <w:rsid w:val="0059114C"/>
    <w:rsid w:val="005918D5"/>
    <w:rsid w:val="005926FE"/>
    <w:rsid w:val="0059326E"/>
    <w:rsid w:val="005932AE"/>
    <w:rsid w:val="005939EF"/>
    <w:rsid w:val="00595079"/>
    <w:rsid w:val="00595508"/>
    <w:rsid w:val="00596A1F"/>
    <w:rsid w:val="005A3EEB"/>
    <w:rsid w:val="005A5F27"/>
    <w:rsid w:val="005A5F3A"/>
    <w:rsid w:val="005A7752"/>
    <w:rsid w:val="005B24F7"/>
    <w:rsid w:val="005B25FC"/>
    <w:rsid w:val="005B2E5B"/>
    <w:rsid w:val="005B59E2"/>
    <w:rsid w:val="005B7461"/>
    <w:rsid w:val="005C25AF"/>
    <w:rsid w:val="005C2A18"/>
    <w:rsid w:val="005C338F"/>
    <w:rsid w:val="005C36F9"/>
    <w:rsid w:val="005C6C2D"/>
    <w:rsid w:val="005C72F2"/>
    <w:rsid w:val="005D2823"/>
    <w:rsid w:val="005D3349"/>
    <w:rsid w:val="005D47AF"/>
    <w:rsid w:val="005D59A6"/>
    <w:rsid w:val="005D7B20"/>
    <w:rsid w:val="005E10F0"/>
    <w:rsid w:val="005E1265"/>
    <w:rsid w:val="005E15A3"/>
    <w:rsid w:val="005E185D"/>
    <w:rsid w:val="005E34F9"/>
    <w:rsid w:val="005E3D17"/>
    <w:rsid w:val="005E54C4"/>
    <w:rsid w:val="005F0ADD"/>
    <w:rsid w:val="005F22E0"/>
    <w:rsid w:val="005F4A32"/>
    <w:rsid w:val="005F4DB0"/>
    <w:rsid w:val="005F5433"/>
    <w:rsid w:val="005F5A11"/>
    <w:rsid w:val="005F5EE8"/>
    <w:rsid w:val="005F7EEE"/>
    <w:rsid w:val="0060119B"/>
    <w:rsid w:val="00601855"/>
    <w:rsid w:val="0060205B"/>
    <w:rsid w:val="006031AA"/>
    <w:rsid w:val="00603938"/>
    <w:rsid w:val="00607FE5"/>
    <w:rsid w:val="00611930"/>
    <w:rsid w:val="00611CC2"/>
    <w:rsid w:val="00612B28"/>
    <w:rsid w:val="00614479"/>
    <w:rsid w:val="00614832"/>
    <w:rsid w:val="00615453"/>
    <w:rsid w:val="00616AC7"/>
    <w:rsid w:val="00616B78"/>
    <w:rsid w:val="00620520"/>
    <w:rsid w:val="0062309C"/>
    <w:rsid w:val="006230D1"/>
    <w:rsid w:val="00624970"/>
    <w:rsid w:val="00626671"/>
    <w:rsid w:val="00626A68"/>
    <w:rsid w:val="00627434"/>
    <w:rsid w:val="00627814"/>
    <w:rsid w:val="006311A7"/>
    <w:rsid w:val="00631311"/>
    <w:rsid w:val="006366B4"/>
    <w:rsid w:val="00636AE4"/>
    <w:rsid w:val="00636F7B"/>
    <w:rsid w:val="00637B17"/>
    <w:rsid w:val="00640F95"/>
    <w:rsid w:val="00641352"/>
    <w:rsid w:val="006425DE"/>
    <w:rsid w:val="00642F1B"/>
    <w:rsid w:val="00642F5B"/>
    <w:rsid w:val="006444FD"/>
    <w:rsid w:val="00644B0D"/>
    <w:rsid w:val="00644CA9"/>
    <w:rsid w:val="00647FA1"/>
    <w:rsid w:val="00650B65"/>
    <w:rsid w:val="00652C58"/>
    <w:rsid w:val="00652C65"/>
    <w:rsid w:val="00653644"/>
    <w:rsid w:val="006556A8"/>
    <w:rsid w:val="0065698A"/>
    <w:rsid w:val="00656CCF"/>
    <w:rsid w:val="0065718E"/>
    <w:rsid w:val="006611DE"/>
    <w:rsid w:val="00662012"/>
    <w:rsid w:val="00665199"/>
    <w:rsid w:val="00665A25"/>
    <w:rsid w:val="00665C0F"/>
    <w:rsid w:val="0066638A"/>
    <w:rsid w:val="006675A1"/>
    <w:rsid w:val="00667DB4"/>
    <w:rsid w:val="006712DB"/>
    <w:rsid w:val="006731C0"/>
    <w:rsid w:val="0067370F"/>
    <w:rsid w:val="00674904"/>
    <w:rsid w:val="00674A1F"/>
    <w:rsid w:val="00677914"/>
    <w:rsid w:val="00680CD4"/>
    <w:rsid w:val="006815A4"/>
    <w:rsid w:val="00681B11"/>
    <w:rsid w:val="0068267F"/>
    <w:rsid w:val="00684643"/>
    <w:rsid w:val="0068589B"/>
    <w:rsid w:val="006863E2"/>
    <w:rsid w:val="00686468"/>
    <w:rsid w:val="00691B11"/>
    <w:rsid w:val="00693716"/>
    <w:rsid w:val="006938A3"/>
    <w:rsid w:val="0069504A"/>
    <w:rsid w:val="0069569F"/>
    <w:rsid w:val="006960B3"/>
    <w:rsid w:val="006A03E1"/>
    <w:rsid w:val="006A1DAF"/>
    <w:rsid w:val="006A28E8"/>
    <w:rsid w:val="006A3347"/>
    <w:rsid w:val="006A4BCB"/>
    <w:rsid w:val="006A512B"/>
    <w:rsid w:val="006A52E4"/>
    <w:rsid w:val="006A59B4"/>
    <w:rsid w:val="006A633E"/>
    <w:rsid w:val="006A6628"/>
    <w:rsid w:val="006B3BB5"/>
    <w:rsid w:val="006B3E83"/>
    <w:rsid w:val="006B5130"/>
    <w:rsid w:val="006B6409"/>
    <w:rsid w:val="006B7616"/>
    <w:rsid w:val="006B7E1E"/>
    <w:rsid w:val="006B7EBE"/>
    <w:rsid w:val="006C0FC6"/>
    <w:rsid w:val="006C3271"/>
    <w:rsid w:val="006C5487"/>
    <w:rsid w:val="006C599D"/>
    <w:rsid w:val="006C660F"/>
    <w:rsid w:val="006C66AA"/>
    <w:rsid w:val="006C67CE"/>
    <w:rsid w:val="006D071D"/>
    <w:rsid w:val="006D174E"/>
    <w:rsid w:val="006D2A38"/>
    <w:rsid w:val="006D2ADC"/>
    <w:rsid w:val="006D2F93"/>
    <w:rsid w:val="006D50F3"/>
    <w:rsid w:val="006E010A"/>
    <w:rsid w:val="006E1BB5"/>
    <w:rsid w:val="006E2335"/>
    <w:rsid w:val="006E354C"/>
    <w:rsid w:val="006E4504"/>
    <w:rsid w:val="006E62E0"/>
    <w:rsid w:val="006E69FC"/>
    <w:rsid w:val="006F23DF"/>
    <w:rsid w:val="006F5732"/>
    <w:rsid w:val="006F642C"/>
    <w:rsid w:val="007020C7"/>
    <w:rsid w:val="00702B6F"/>
    <w:rsid w:val="00705169"/>
    <w:rsid w:val="00705195"/>
    <w:rsid w:val="00705317"/>
    <w:rsid w:val="0070570E"/>
    <w:rsid w:val="00707AD4"/>
    <w:rsid w:val="00710203"/>
    <w:rsid w:val="00710DAC"/>
    <w:rsid w:val="00712ADA"/>
    <w:rsid w:val="00713D25"/>
    <w:rsid w:val="00714196"/>
    <w:rsid w:val="0071435F"/>
    <w:rsid w:val="00715909"/>
    <w:rsid w:val="0071624F"/>
    <w:rsid w:val="007210EE"/>
    <w:rsid w:val="00722447"/>
    <w:rsid w:val="00722E18"/>
    <w:rsid w:val="0072674D"/>
    <w:rsid w:val="00733EA4"/>
    <w:rsid w:val="00734E90"/>
    <w:rsid w:val="00736708"/>
    <w:rsid w:val="007369BF"/>
    <w:rsid w:val="0074169F"/>
    <w:rsid w:val="00743452"/>
    <w:rsid w:val="007456E7"/>
    <w:rsid w:val="00751168"/>
    <w:rsid w:val="0075183C"/>
    <w:rsid w:val="00752959"/>
    <w:rsid w:val="007542E3"/>
    <w:rsid w:val="00755C51"/>
    <w:rsid w:val="00756EE9"/>
    <w:rsid w:val="0076321C"/>
    <w:rsid w:val="0076328B"/>
    <w:rsid w:val="00765802"/>
    <w:rsid w:val="00766228"/>
    <w:rsid w:val="007712E5"/>
    <w:rsid w:val="00771A23"/>
    <w:rsid w:val="00771AB5"/>
    <w:rsid w:val="00771F14"/>
    <w:rsid w:val="0077265B"/>
    <w:rsid w:val="007767E2"/>
    <w:rsid w:val="0078079F"/>
    <w:rsid w:val="00782C2E"/>
    <w:rsid w:val="007830CA"/>
    <w:rsid w:val="0078603B"/>
    <w:rsid w:val="00786977"/>
    <w:rsid w:val="00786F7A"/>
    <w:rsid w:val="00787CBE"/>
    <w:rsid w:val="00790E78"/>
    <w:rsid w:val="00792F56"/>
    <w:rsid w:val="00793802"/>
    <w:rsid w:val="00793DFE"/>
    <w:rsid w:val="007940FE"/>
    <w:rsid w:val="00794623"/>
    <w:rsid w:val="00796DC8"/>
    <w:rsid w:val="007975F2"/>
    <w:rsid w:val="007A0E50"/>
    <w:rsid w:val="007A1439"/>
    <w:rsid w:val="007A19A7"/>
    <w:rsid w:val="007A1D18"/>
    <w:rsid w:val="007A70A2"/>
    <w:rsid w:val="007A74ED"/>
    <w:rsid w:val="007B17D1"/>
    <w:rsid w:val="007B596D"/>
    <w:rsid w:val="007C2829"/>
    <w:rsid w:val="007C2B38"/>
    <w:rsid w:val="007C3510"/>
    <w:rsid w:val="007C3BCE"/>
    <w:rsid w:val="007C4B8F"/>
    <w:rsid w:val="007C54B2"/>
    <w:rsid w:val="007C60AC"/>
    <w:rsid w:val="007C66FE"/>
    <w:rsid w:val="007D1488"/>
    <w:rsid w:val="007D1FE9"/>
    <w:rsid w:val="007D25E0"/>
    <w:rsid w:val="007D36E7"/>
    <w:rsid w:val="007D3CA0"/>
    <w:rsid w:val="007D47A4"/>
    <w:rsid w:val="007D4A84"/>
    <w:rsid w:val="007D6224"/>
    <w:rsid w:val="007D6355"/>
    <w:rsid w:val="007D6DC7"/>
    <w:rsid w:val="007E0BBE"/>
    <w:rsid w:val="007E3F4C"/>
    <w:rsid w:val="007E7A74"/>
    <w:rsid w:val="007E7F9F"/>
    <w:rsid w:val="007F07DD"/>
    <w:rsid w:val="007F1DD3"/>
    <w:rsid w:val="007F1EFC"/>
    <w:rsid w:val="007F4295"/>
    <w:rsid w:val="007F4E84"/>
    <w:rsid w:val="007F4EAE"/>
    <w:rsid w:val="007F6EDE"/>
    <w:rsid w:val="007F7CBC"/>
    <w:rsid w:val="007F7E04"/>
    <w:rsid w:val="0080074C"/>
    <w:rsid w:val="00801202"/>
    <w:rsid w:val="0080219F"/>
    <w:rsid w:val="00802BFB"/>
    <w:rsid w:val="00803BB9"/>
    <w:rsid w:val="00803E25"/>
    <w:rsid w:val="00803FD4"/>
    <w:rsid w:val="00812A00"/>
    <w:rsid w:val="00812CD7"/>
    <w:rsid w:val="00812F38"/>
    <w:rsid w:val="00824FD2"/>
    <w:rsid w:val="008256F1"/>
    <w:rsid w:val="00825BA8"/>
    <w:rsid w:val="00826EE9"/>
    <w:rsid w:val="00827414"/>
    <w:rsid w:val="00827BB5"/>
    <w:rsid w:val="00827F67"/>
    <w:rsid w:val="00830A86"/>
    <w:rsid w:val="00832C96"/>
    <w:rsid w:val="00836B8F"/>
    <w:rsid w:val="00837BB0"/>
    <w:rsid w:val="008419DD"/>
    <w:rsid w:val="00841D30"/>
    <w:rsid w:val="008432D8"/>
    <w:rsid w:val="00844081"/>
    <w:rsid w:val="008451C9"/>
    <w:rsid w:val="00846CF2"/>
    <w:rsid w:val="00847AB0"/>
    <w:rsid w:val="00847C52"/>
    <w:rsid w:val="00851DEF"/>
    <w:rsid w:val="00851F07"/>
    <w:rsid w:val="0085206C"/>
    <w:rsid w:val="00854C1A"/>
    <w:rsid w:val="008564D7"/>
    <w:rsid w:val="0086134B"/>
    <w:rsid w:val="00864956"/>
    <w:rsid w:val="00865557"/>
    <w:rsid w:val="008661D3"/>
    <w:rsid w:val="00867E76"/>
    <w:rsid w:val="008712AD"/>
    <w:rsid w:val="008724DC"/>
    <w:rsid w:val="00872AC1"/>
    <w:rsid w:val="00873833"/>
    <w:rsid w:val="00882101"/>
    <w:rsid w:val="0088612D"/>
    <w:rsid w:val="00890267"/>
    <w:rsid w:val="008903CD"/>
    <w:rsid w:val="00890E1F"/>
    <w:rsid w:val="00895ACD"/>
    <w:rsid w:val="00895B8B"/>
    <w:rsid w:val="00896076"/>
    <w:rsid w:val="00896DB5"/>
    <w:rsid w:val="008A0CAB"/>
    <w:rsid w:val="008A1D3E"/>
    <w:rsid w:val="008A340D"/>
    <w:rsid w:val="008A3EAE"/>
    <w:rsid w:val="008B1247"/>
    <w:rsid w:val="008B1EB7"/>
    <w:rsid w:val="008B2C1C"/>
    <w:rsid w:val="008B338D"/>
    <w:rsid w:val="008B4CD1"/>
    <w:rsid w:val="008B56B0"/>
    <w:rsid w:val="008B6310"/>
    <w:rsid w:val="008B697B"/>
    <w:rsid w:val="008B7051"/>
    <w:rsid w:val="008C1133"/>
    <w:rsid w:val="008C48E9"/>
    <w:rsid w:val="008C4E5E"/>
    <w:rsid w:val="008D325D"/>
    <w:rsid w:val="008D34EA"/>
    <w:rsid w:val="008D3AC0"/>
    <w:rsid w:val="008E0556"/>
    <w:rsid w:val="008E2EF1"/>
    <w:rsid w:val="008E4C4D"/>
    <w:rsid w:val="008E4FA2"/>
    <w:rsid w:val="008E590C"/>
    <w:rsid w:val="008E6FE3"/>
    <w:rsid w:val="008E7FB7"/>
    <w:rsid w:val="008F17D4"/>
    <w:rsid w:val="008F20A7"/>
    <w:rsid w:val="008F2D43"/>
    <w:rsid w:val="008F326A"/>
    <w:rsid w:val="008F3FA9"/>
    <w:rsid w:val="008F5451"/>
    <w:rsid w:val="008F7F06"/>
    <w:rsid w:val="009006DC"/>
    <w:rsid w:val="00901761"/>
    <w:rsid w:val="00902C53"/>
    <w:rsid w:val="009045BD"/>
    <w:rsid w:val="009065EC"/>
    <w:rsid w:val="00907556"/>
    <w:rsid w:val="0091021B"/>
    <w:rsid w:val="00910BE7"/>
    <w:rsid w:val="00911F5F"/>
    <w:rsid w:val="00912432"/>
    <w:rsid w:val="00915C09"/>
    <w:rsid w:val="00915E6B"/>
    <w:rsid w:val="00916195"/>
    <w:rsid w:val="00916527"/>
    <w:rsid w:val="00916693"/>
    <w:rsid w:val="009167C1"/>
    <w:rsid w:val="009215EA"/>
    <w:rsid w:val="0092192F"/>
    <w:rsid w:val="00922F82"/>
    <w:rsid w:val="009231E6"/>
    <w:rsid w:val="0092420D"/>
    <w:rsid w:val="00924325"/>
    <w:rsid w:val="00926463"/>
    <w:rsid w:val="009275A4"/>
    <w:rsid w:val="00927CF5"/>
    <w:rsid w:val="00932F14"/>
    <w:rsid w:val="009337D8"/>
    <w:rsid w:val="00934735"/>
    <w:rsid w:val="00935F5D"/>
    <w:rsid w:val="00936B93"/>
    <w:rsid w:val="00942C5B"/>
    <w:rsid w:val="009434AA"/>
    <w:rsid w:val="009436D5"/>
    <w:rsid w:val="00944492"/>
    <w:rsid w:val="009445B4"/>
    <w:rsid w:val="00946413"/>
    <w:rsid w:val="0094704C"/>
    <w:rsid w:val="0095349A"/>
    <w:rsid w:val="00956C1F"/>
    <w:rsid w:val="00956E64"/>
    <w:rsid w:val="00957160"/>
    <w:rsid w:val="009621A8"/>
    <w:rsid w:val="009633BA"/>
    <w:rsid w:val="009648BD"/>
    <w:rsid w:val="00964CE6"/>
    <w:rsid w:val="009661F5"/>
    <w:rsid w:val="00966CF8"/>
    <w:rsid w:val="00970DC2"/>
    <w:rsid w:val="009727FD"/>
    <w:rsid w:val="00972D7B"/>
    <w:rsid w:val="00973809"/>
    <w:rsid w:val="00977F1A"/>
    <w:rsid w:val="00980964"/>
    <w:rsid w:val="009812F2"/>
    <w:rsid w:val="00981BD7"/>
    <w:rsid w:val="00984684"/>
    <w:rsid w:val="0098503E"/>
    <w:rsid w:val="009853D9"/>
    <w:rsid w:val="00985A11"/>
    <w:rsid w:val="009868E4"/>
    <w:rsid w:val="00987EE1"/>
    <w:rsid w:val="009929A0"/>
    <w:rsid w:val="009944DF"/>
    <w:rsid w:val="00995552"/>
    <w:rsid w:val="00995B7E"/>
    <w:rsid w:val="009975BA"/>
    <w:rsid w:val="009A0939"/>
    <w:rsid w:val="009A2BD6"/>
    <w:rsid w:val="009A5367"/>
    <w:rsid w:val="009A53C6"/>
    <w:rsid w:val="009A664C"/>
    <w:rsid w:val="009A7E4A"/>
    <w:rsid w:val="009B0A27"/>
    <w:rsid w:val="009B113D"/>
    <w:rsid w:val="009B1EA3"/>
    <w:rsid w:val="009B2AE7"/>
    <w:rsid w:val="009B3A89"/>
    <w:rsid w:val="009B4598"/>
    <w:rsid w:val="009B5DF3"/>
    <w:rsid w:val="009B6619"/>
    <w:rsid w:val="009B78D5"/>
    <w:rsid w:val="009B7BF9"/>
    <w:rsid w:val="009C138A"/>
    <w:rsid w:val="009C1620"/>
    <w:rsid w:val="009C1E89"/>
    <w:rsid w:val="009C4627"/>
    <w:rsid w:val="009C5F5F"/>
    <w:rsid w:val="009C63C0"/>
    <w:rsid w:val="009C6868"/>
    <w:rsid w:val="009C6BB8"/>
    <w:rsid w:val="009D12E4"/>
    <w:rsid w:val="009D1495"/>
    <w:rsid w:val="009D15EB"/>
    <w:rsid w:val="009D28AB"/>
    <w:rsid w:val="009D434D"/>
    <w:rsid w:val="009D478C"/>
    <w:rsid w:val="009D51FE"/>
    <w:rsid w:val="009D5A84"/>
    <w:rsid w:val="009D664F"/>
    <w:rsid w:val="009E0526"/>
    <w:rsid w:val="009E0EB4"/>
    <w:rsid w:val="009E24DB"/>
    <w:rsid w:val="009F304F"/>
    <w:rsid w:val="009F316D"/>
    <w:rsid w:val="009F3FB6"/>
    <w:rsid w:val="009F4941"/>
    <w:rsid w:val="009F4A7A"/>
    <w:rsid w:val="009F4AFC"/>
    <w:rsid w:val="009F60A8"/>
    <w:rsid w:val="00A00843"/>
    <w:rsid w:val="00A017FC"/>
    <w:rsid w:val="00A034ED"/>
    <w:rsid w:val="00A044C6"/>
    <w:rsid w:val="00A0603F"/>
    <w:rsid w:val="00A06254"/>
    <w:rsid w:val="00A0751F"/>
    <w:rsid w:val="00A07EFD"/>
    <w:rsid w:val="00A1078E"/>
    <w:rsid w:val="00A108CC"/>
    <w:rsid w:val="00A10F84"/>
    <w:rsid w:val="00A111A7"/>
    <w:rsid w:val="00A119DC"/>
    <w:rsid w:val="00A11AC2"/>
    <w:rsid w:val="00A13389"/>
    <w:rsid w:val="00A14DDA"/>
    <w:rsid w:val="00A162C4"/>
    <w:rsid w:val="00A17144"/>
    <w:rsid w:val="00A22F1A"/>
    <w:rsid w:val="00A23A6E"/>
    <w:rsid w:val="00A24343"/>
    <w:rsid w:val="00A25E9A"/>
    <w:rsid w:val="00A26D06"/>
    <w:rsid w:val="00A30A14"/>
    <w:rsid w:val="00A310A7"/>
    <w:rsid w:val="00A33300"/>
    <w:rsid w:val="00A33490"/>
    <w:rsid w:val="00A3355B"/>
    <w:rsid w:val="00A3391D"/>
    <w:rsid w:val="00A3518F"/>
    <w:rsid w:val="00A35B5E"/>
    <w:rsid w:val="00A3659D"/>
    <w:rsid w:val="00A37065"/>
    <w:rsid w:val="00A41C08"/>
    <w:rsid w:val="00A4475A"/>
    <w:rsid w:val="00A448F0"/>
    <w:rsid w:val="00A46D70"/>
    <w:rsid w:val="00A5004E"/>
    <w:rsid w:val="00A509A1"/>
    <w:rsid w:val="00A51DE3"/>
    <w:rsid w:val="00A52ED5"/>
    <w:rsid w:val="00A53861"/>
    <w:rsid w:val="00A54C57"/>
    <w:rsid w:val="00A573EA"/>
    <w:rsid w:val="00A57785"/>
    <w:rsid w:val="00A6151A"/>
    <w:rsid w:val="00A61E9E"/>
    <w:rsid w:val="00A62134"/>
    <w:rsid w:val="00A62816"/>
    <w:rsid w:val="00A63705"/>
    <w:rsid w:val="00A63BD4"/>
    <w:rsid w:val="00A64088"/>
    <w:rsid w:val="00A642DB"/>
    <w:rsid w:val="00A64624"/>
    <w:rsid w:val="00A65011"/>
    <w:rsid w:val="00A6574E"/>
    <w:rsid w:val="00A67D05"/>
    <w:rsid w:val="00A72C0C"/>
    <w:rsid w:val="00A744D7"/>
    <w:rsid w:val="00A769F3"/>
    <w:rsid w:val="00A76C77"/>
    <w:rsid w:val="00A80909"/>
    <w:rsid w:val="00A80F75"/>
    <w:rsid w:val="00A83135"/>
    <w:rsid w:val="00A832FA"/>
    <w:rsid w:val="00A8615E"/>
    <w:rsid w:val="00A86E40"/>
    <w:rsid w:val="00A8723D"/>
    <w:rsid w:val="00A91332"/>
    <w:rsid w:val="00A91615"/>
    <w:rsid w:val="00A92D93"/>
    <w:rsid w:val="00A9381F"/>
    <w:rsid w:val="00A96391"/>
    <w:rsid w:val="00A96CF6"/>
    <w:rsid w:val="00A9734F"/>
    <w:rsid w:val="00A9738D"/>
    <w:rsid w:val="00AA026F"/>
    <w:rsid w:val="00AA138F"/>
    <w:rsid w:val="00AA162B"/>
    <w:rsid w:val="00AA28BF"/>
    <w:rsid w:val="00AA2E04"/>
    <w:rsid w:val="00AA42AA"/>
    <w:rsid w:val="00AA512A"/>
    <w:rsid w:val="00AA6B70"/>
    <w:rsid w:val="00AA773E"/>
    <w:rsid w:val="00AA78E7"/>
    <w:rsid w:val="00AB058B"/>
    <w:rsid w:val="00AB0750"/>
    <w:rsid w:val="00AB0D48"/>
    <w:rsid w:val="00AB1841"/>
    <w:rsid w:val="00AB3042"/>
    <w:rsid w:val="00AB440F"/>
    <w:rsid w:val="00AB629E"/>
    <w:rsid w:val="00AB6F1F"/>
    <w:rsid w:val="00AC1B9E"/>
    <w:rsid w:val="00AC2F40"/>
    <w:rsid w:val="00AC410E"/>
    <w:rsid w:val="00AC64BA"/>
    <w:rsid w:val="00AD310D"/>
    <w:rsid w:val="00AD3364"/>
    <w:rsid w:val="00AD34CD"/>
    <w:rsid w:val="00AD4EE2"/>
    <w:rsid w:val="00AD6B29"/>
    <w:rsid w:val="00AE057B"/>
    <w:rsid w:val="00AE3EA6"/>
    <w:rsid w:val="00AE4DC3"/>
    <w:rsid w:val="00AF04A2"/>
    <w:rsid w:val="00AF1CAF"/>
    <w:rsid w:val="00AF358E"/>
    <w:rsid w:val="00AF6C73"/>
    <w:rsid w:val="00AF75A4"/>
    <w:rsid w:val="00B038F1"/>
    <w:rsid w:val="00B05B5B"/>
    <w:rsid w:val="00B11422"/>
    <w:rsid w:val="00B131F0"/>
    <w:rsid w:val="00B13AFB"/>
    <w:rsid w:val="00B13C76"/>
    <w:rsid w:val="00B15EFC"/>
    <w:rsid w:val="00B1654C"/>
    <w:rsid w:val="00B167B5"/>
    <w:rsid w:val="00B22065"/>
    <w:rsid w:val="00B247F7"/>
    <w:rsid w:val="00B27ED9"/>
    <w:rsid w:val="00B305FD"/>
    <w:rsid w:val="00B32108"/>
    <w:rsid w:val="00B32FCC"/>
    <w:rsid w:val="00B33BA6"/>
    <w:rsid w:val="00B33FC1"/>
    <w:rsid w:val="00B35128"/>
    <w:rsid w:val="00B361F4"/>
    <w:rsid w:val="00B36B87"/>
    <w:rsid w:val="00B3777B"/>
    <w:rsid w:val="00B4037A"/>
    <w:rsid w:val="00B4042B"/>
    <w:rsid w:val="00B42210"/>
    <w:rsid w:val="00B43F8A"/>
    <w:rsid w:val="00B51864"/>
    <w:rsid w:val="00B52303"/>
    <w:rsid w:val="00B56C01"/>
    <w:rsid w:val="00B573C9"/>
    <w:rsid w:val="00B57622"/>
    <w:rsid w:val="00B60294"/>
    <w:rsid w:val="00B607F6"/>
    <w:rsid w:val="00B61372"/>
    <w:rsid w:val="00B6147D"/>
    <w:rsid w:val="00B61839"/>
    <w:rsid w:val="00B63021"/>
    <w:rsid w:val="00B63981"/>
    <w:rsid w:val="00B643BF"/>
    <w:rsid w:val="00B72B37"/>
    <w:rsid w:val="00B72C02"/>
    <w:rsid w:val="00B73412"/>
    <w:rsid w:val="00B80244"/>
    <w:rsid w:val="00B8434F"/>
    <w:rsid w:val="00B8456E"/>
    <w:rsid w:val="00B91E9B"/>
    <w:rsid w:val="00B9295D"/>
    <w:rsid w:val="00B93439"/>
    <w:rsid w:val="00B94658"/>
    <w:rsid w:val="00B94E8D"/>
    <w:rsid w:val="00B9576E"/>
    <w:rsid w:val="00B9684C"/>
    <w:rsid w:val="00B96EBC"/>
    <w:rsid w:val="00B97748"/>
    <w:rsid w:val="00BA12D8"/>
    <w:rsid w:val="00BA1C0F"/>
    <w:rsid w:val="00BA1E37"/>
    <w:rsid w:val="00BA22A5"/>
    <w:rsid w:val="00BA2AC0"/>
    <w:rsid w:val="00BA38D2"/>
    <w:rsid w:val="00BA3BCB"/>
    <w:rsid w:val="00BA4D98"/>
    <w:rsid w:val="00BA6099"/>
    <w:rsid w:val="00BA64FB"/>
    <w:rsid w:val="00BA67CB"/>
    <w:rsid w:val="00BA6AFE"/>
    <w:rsid w:val="00BA6E2C"/>
    <w:rsid w:val="00BA74D5"/>
    <w:rsid w:val="00BA7FE4"/>
    <w:rsid w:val="00BB00F2"/>
    <w:rsid w:val="00BB31E0"/>
    <w:rsid w:val="00BB5663"/>
    <w:rsid w:val="00BB7853"/>
    <w:rsid w:val="00BB7874"/>
    <w:rsid w:val="00BC15C5"/>
    <w:rsid w:val="00BC175A"/>
    <w:rsid w:val="00BC26CC"/>
    <w:rsid w:val="00BC2C87"/>
    <w:rsid w:val="00BC40D7"/>
    <w:rsid w:val="00BC51BA"/>
    <w:rsid w:val="00BC5456"/>
    <w:rsid w:val="00BC5EEB"/>
    <w:rsid w:val="00BC698E"/>
    <w:rsid w:val="00BC7426"/>
    <w:rsid w:val="00BC7A91"/>
    <w:rsid w:val="00BD0D8C"/>
    <w:rsid w:val="00BD1618"/>
    <w:rsid w:val="00BD3688"/>
    <w:rsid w:val="00BD37AC"/>
    <w:rsid w:val="00BD4D38"/>
    <w:rsid w:val="00BD5396"/>
    <w:rsid w:val="00BD6947"/>
    <w:rsid w:val="00BE0797"/>
    <w:rsid w:val="00BE0DD0"/>
    <w:rsid w:val="00BE15F0"/>
    <w:rsid w:val="00BE212A"/>
    <w:rsid w:val="00BE234D"/>
    <w:rsid w:val="00BE2ABD"/>
    <w:rsid w:val="00BE30BE"/>
    <w:rsid w:val="00BE375C"/>
    <w:rsid w:val="00BE6660"/>
    <w:rsid w:val="00BE74D6"/>
    <w:rsid w:val="00BF0285"/>
    <w:rsid w:val="00BF0F67"/>
    <w:rsid w:val="00BF73AC"/>
    <w:rsid w:val="00C00A1A"/>
    <w:rsid w:val="00C019BD"/>
    <w:rsid w:val="00C01ABB"/>
    <w:rsid w:val="00C02374"/>
    <w:rsid w:val="00C0250A"/>
    <w:rsid w:val="00C031AC"/>
    <w:rsid w:val="00C05D3D"/>
    <w:rsid w:val="00C072BF"/>
    <w:rsid w:val="00C07B06"/>
    <w:rsid w:val="00C10210"/>
    <w:rsid w:val="00C102D4"/>
    <w:rsid w:val="00C1050A"/>
    <w:rsid w:val="00C10F33"/>
    <w:rsid w:val="00C12609"/>
    <w:rsid w:val="00C132D1"/>
    <w:rsid w:val="00C14E14"/>
    <w:rsid w:val="00C15259"/>
    <w:rsid w:val="00C169E7"/>
    <w:rsid w:val="00C16A68"/>
    <w:rsid w:val="00C16CFE"/>
    <w:rsid w:val="00C202F5"/>
    <w:rsid w:val="00C2125F"/>
    <w:rsid w:val="00C232FB"/>
    <w:rsid w:val="00C2686B"/>
    <w:rsid w:val="00C3346B"/>
    <w:rsid w:val="00C355F1"/>
    <w:rsid w:val="00C40FB2"/>
    <w:rsid w:val="00C42D8F"/>
    <w:rsid w:val="00C42F31"/>
    <w:rsid w:val="00C45212"/>
    <w:rsid w:val="00C51567"/>
    <w:rsid w:val="00C527A2"/>
    <w:rsid w:val="00C52B36"/>
    <w:rsid w:val="00C52D6C"/>
    <w:rsid w:val="00C5327A"/>
    <w:rsid w:val="00C54809"/>
    <w:rsid w:val="00C5575C"/>
    <w:rsid w:val="00C55FD8"/>
    <w:rsid w:val="00C565D8"/>
    <w:rsid w:val="00C57F16"/>
    <w:rsid w:val="00C61453"/>
    <w:rsid w:val="00C618AD"/>
    <w:rsid w:val="00C620A2"/>
    <w:rsid w:val="00C634D4"/>
    <w:rsid w:val="00C63C6A"/>
    <w:rsid w:val="00C64565"/>
    <w:rsid w:val="00C646E7"/>
    <w:rsid w:val="00C64EFB"/>
    <w:rsid w:val="00C67636"/>
    <w:rsid w:val="00C6783D"/>
    <w:rsid w:val="00C67CF9"/>
    <w:rsid w:val="00C718B1"/>
    <w:rsid w:val="00C724BF"/>
    <w:rsid w:val="00C72DDD"/>
    <w:rsid w:val="00C72E8B"/>
    <w:rsid w:val="00C75C3D"/>
    <w:rsid w:val="00C764ED"/>
    <w:rsid w:val="00C76708"/>
    <w:rsid w:val="00C76BAA"/>
    <w:rsid w:val="00C839A6"/>
    <w:rsid w:val="00C84444"/>
    <w:rsid w:val="00C85460"/>
    <w:rsid w:val="00C8555A"/>
    <w:rsid w:val="00C86031"/>
    <w:rsid w:val="00C86EE5"/>
    <w:rsid w:val="00C90506"/>
    <w:rsid w:val="00C92C60"/>
    <w:rsid w:val="00C9372F"/>
    <w:rsid w:val="00C9447B"/>
    <w:rsid w:val="00C95E17"/>
    <w:rsid w:val="00CA164B"/>
    <w:rsid w:val="00CA173A"/>
    <w:rsid w:val="00CA1F83"/>
    <w:rsid w:val="00CA378A"/>
    <w:rsid w:val="00CA50D3"/>
    <w:rsid w:val="00CA6153"/>
    <w:rsid w:val="00CA6F50"/>
    <w:rsid w:val="00CB0194"/>
    <w:rsid w:val="00CB0767"/>
    <w:rsid w:val="00CB2557"/>
    <w:rsid w:val="00CB5B0A"/>
    <w:rsid w:val="00CB61DD"/>
    <w:rsid w:val="00CB639D"/>
    <w:rsid w:val="00CB6499"/>
    <w:rsid w:val="00CC0BEF"/>
    <w:rsid w:val="00CC2B97"/>
    <w:rsid w:val="00CC3F5A"/>
    <w:rsid w:val="00CC477E"/>
    <w:rsid w:val="00CC6160"/>
    <w:rsid w:val="00CC6193"/>
    <w:rsid w:val="00CD2838"/>
    <w:rsid w:val="00CD2B45"/>
    <w:rsid w:val="00CD2C39"/>
    <w:rsid w:val="00CD30BA"/>
    <w:rsid w:val="00CD5BAE"/>
    <w:rsid w:val="00CD67F3"/>
    <w:rsid w:val="00CD6EAC"/>
    <w:rsid w:val="00CE2D31"/>
    <w:rsid w:val="00CE2F30"/>
    <w:rsid w:val="00CE3A71"/>
    <w:rsid w:val="00CE513D"/>
    <w:rsid w:val="00CE63E8"/>
    <w:rsid w:val="00CE6FC5"/>
    <w:rsid w:val="00CE7166"/>
    <w:rsid w:val="00CE7A33"/>
    <w:rsid w:val="00CF07C9"/>
    <w:rsid w:val="00CF1E57"/>
    <w:rsid w:val="00CF20C0"/>
    <w:rsid w:val="00CF25D6"/>
    <w:rsid w:val="00CF534E"/>
    <w:rsid w:val="00CF5FDD"/>
    <w:rsid w:val="00CF60D6"/>
    <w:rsid w:val="00CF63D4"/>
    <w:rsid w:val="00CF7444"/>
    <w:rsid w:val="00CF76B2"/>
    <w:rsid w:val="00D00027"/>
    <w:rsid w:val="00D00DD7"/>
    <w:rsid w:val="00D00E63"/>
    <w:rsid w:val="00D023C6"/>
    <w:rsid w:val="00D028AF"/>
    <w:rsid w:val="00D034C8"/>
    <w:rsid w:val="00D03DDC"/>
    <w:rsid w:val="00D04CD6"/>
    <w:rsid w:val="00D04ECA"/>
    <w:rsid w:val="00D07273"/>
    <w:rsid w:val="00D11485"/>
    <w:rsid w:val="00D11536"/>
    <w:rsid w:val="00D14697"/>
    <w:rsid w:val="00D16A4B"/>
    <w:rsid w:val="00D17C13"/>
    <w:rsid w:val="00D17FE5"/>
    <w:rsid w:val="00D200BF"/>
    <w:rsid w:val="00D21B1E"/>
    <w:rsid w:val="00D22DF7"/>
    <w:rsid w:val="00D2410C"/>
    <w:rsid w:val="00D24C11"/>
    <w:rsid w:val="00D26C17"/>
    <w:rsid w:val="00D2743B"/>
    <w:rsid w:val="00D3126F"/>
    <w:rsid w:val="00D317DC"/>
    <w:rsid w:val="00D324AA"/>
    <w:rsid w:val="00D33FA2"/>
    <w:rsid w:val="00D342E3"/>
    <w:rsid w:val="00D37DC6"/>
    <w:rsid w:val="00D416CF"/>
    <w:rsid w:val="00D43A3D"/>
    <w:rsid w:val="00D444FB"/>
    <w:rsid w:val="00D44A5B"/>
    <w:rsid w:val="00D50043"/>
    <w:rsid w:val="00D52248"/>
    <w:rsid w:val="00D53A60"/>
    <w:rsid w:val="00D53EED"/>
    <w:rsid w:val="00D53FCF"/>
    <w:rsid w:val="00D5565A"/>
    <w:rsid w:val="00D56F79"/>
    <w:rsid w:val="00D5755D"/>
    <w:rsid w:val="00D57ACA"/>
    <w:rsid w:val="00D604CC"/>
    <w:rsid w:val="00D60871"/>
    <w:rsid w:val="00D61746"/>
    <w:rsid w:val="00D63E27"/>
    <w:rsid w:val="00D65D93"/>
    <w:rsid w:val="00D66149"/>
    <w:rsid w:val="00D70FA8"/>
    <w:rsid w:val="00D7138F"/>
    <w:rsid w:val="00D731AC"/>
    <w:rsid w:val="00D7395C"/>
    <w:rsid w:val="00D73B1C"/>
    <w:rsid w:val="00D74546"/>
    <w:rsid w:val="00D74606"/>
    <w:rsid w:val="00D76032"/>
    <w:rsid w:val="00D76BB2"/>
    <w:rsid w:val="00D803C1"/>
    <w:rsid w:val="00D81C3B"/>
    <w:rsid w:val="00D81DCE"/>
    <w:rsid w:val="00D84CB3"/>
    <w:rsid w:val="00D85F8A"/>
    <w:rsid w:val="00D86C90"/>
    <w:rsid w:val="00D9368C"/>
    <w:rsid w:val="00D947D9"/>
    <w:rsid w:val="00D96B38"/>
    <w:rsid w:val="00DA29ED"/>
    <w:rsid w:val="00DA4701"/>
    <w:rsid w:val="00DA7716"/>
    <w:rsid w:val="00DB0EFC"/>
    <w:rsid w:val="00DB265F"/>
    <w:rsid w:val="00DB2B1F"/>
    <w:rsid w:val="00DB2EBA"/>
    <w:rsid w:val="00DB3F38"/>
    <w:rsid w:val="00DB4DD5"/>
    <w:rsid w:val="00DB5B17"/>
    <w:rsid w:val="00DB6433"/>
    <w:rsid w:val="00DB7AFD"/>
    <w:rsid w:val="00DC1072"/>
    <w:rsid w:val="00DC1B70"/>
    <w:rsid w:val="00DC404C"/>
    <w:rsid w:val="00DC5911"/>
    <w:rsid w:val="00DC5DB8"/>
    <w:rsid w:val="00DC719C"/>
    <w:rsid w:val="00DC7B03"/>
    <w:rsid w:val="00DC7C68"/>
    <w:rsid w:val="00DD46F1"/>
    <w:rsid w:val="00DD6A4C"/>
    <w:rsid w:val="00DD78C9"/>
    <w:rsid w:val="00DE0463"/>
    <w:rsid w:val="00DE0626"/>
    <w:rsid w:val="00DE1E4D"/>
    <w:rsid w:val="00DE5FF6"/>
    <w:rsid w:val="00DF3492"/>
    <w:rsid w:val="00DF3810"/>
    <w:rsid w:val="00DF3D38"/>
    <w:rsid w:val="00DF4177"/>
    <w:rsid w:val="00DF6401"/>
    <w:rsid w:val="00DF6AE0"/>
    <w:rsid w:val="00E0065B"/>
    <w:rsid w:val="00E026C2"/>
    <w:rsid w:val="00E03302"/>
    <w:rsid w:val="00E03B92"/>
    <w:rsid w:val="00E03D7A"/>
    <w:rsid w:val="00E0441F"/>
    <w:rsid w:val="00E0455B"/>
    <w:rsid w:val="00E05217"/>
    <w:rsid w:val="00E06A91"/>
    <w:rsid w:val="00E10301"/>
    <w:rsid w:val="00E11C3C"/>
    <w:rsid w:val="00E131BB"/>
    <w:rsid w:val="00E142FD"/>
    <w:rsid w:val="00E1750F"/>
    <w:rsid w:val="00E17C8F"/>
    <w:rsid w:val="00E20909"/>
    <w:rsid w:val="00E21066"/>
    <w:rsid w:val="00E2198C"/>
    <w:rsid w:val="00E21E75"/>
    <w:rsid w:val="00E21FF1"/>
    <w:rsid w:val="00E23FAC"/>
    <w:rsid w:val="00E249D4"/>
    <w:rsid w:val="00E27330"/>
    <w:rsid w:val="00E2758F"/>
    <w:rsid w:val="00E30A5A"/>
    <w:rsid w:val="00E33E01"/>
    <w:rsid w:val="00E3485D"/>
    <w:rsid w:val="00E35799"/>
    <w:rsid w:val="00E40D01"/>
    <w:rsid w:val="00E4220D"/>
    <w:rsid w:val="00E4224A"/>
    <w:rsid w:val="00E466F9"/>
    <w:rsid w:val="00E46B03"/>
    <w:rsid w:val="00E473E2"/>
    <w:rsid w:val="00E47CBC"/>
    <w:rsid w:val="00E50E41"/>
    <w:rsid w:val="00E541DD"/>
    <w:rsid w:val="00E553E3"/>
    <w:rsid w:val="00E55E64"/>
    <w:rsid w:val="00E55EC9"/>
    <w:rsid w:val="00E62A57"/>
    <w:rsid w:val="00E634B3"/>
    <w:rsid w:val="00E652D7"/>
    <w:rsid w:val="00E653FD"/>
    <w:rsid w:val="00E65EFF"/>
    <w:rsid w:val="00E6668C"/>
    <w:rsid w:val="00E700E0"/>
    <w:rsid w:val="00E70199"/>
    <w:rsid w:val="00E70CF3"/>
    <w:rsid w:val="00E70DED"/>
    <w:rsid w:val="00E735D4"/>
    <w:rsid w:val="00E73F41"/>
    <w:rsid w:val="00E75BDE"/>
    <w:rsid w:val="00E77551"/>
    <w:rsid w:val="00E80791"/>
    <w:rsid w:val="00E83F3C"/>
    <w:rsid w:val="00E853F2"/>
    <w:rsid w:val="00E8541F"/>
    <w:rsid w:val="00E86938"/>
    <w:rsid w:val="00E90476"/>
    <w:rsid w:val="00E9105B"/>
    <w:rsid w:val="00E91F02"/>
    <w:rsid w:val="00E93AD6"/>
    <w:rsid w:val="00E93B52"/>
    <w:rsid w:val="00E94B5D"/>
    <w:rsid w:val="00E9539B"/>
    <w:rsid w:val="00E973F9"/>
    <w:rsid w:val="00EA1B4F"/>
    <w:rsid w:val="00EA1F44"/>
    <w:rsid w:val="00EA2844"/>
    <w:rsid w:val="00EA4469"/>
    <w:rsid w:val="00EA4741"/>
    <w:rsid w:val="00EA5136"/>
    <w:rsid w:val="00EA51D7"/>
    <w:rsid w:val="00EA6433"/>
    <w:rsid w:val="00EA6CBB"/>
    <w:rsid w:val="00EA706B"/>
    <w:rsid w:val="00EB1412"/>
    <w:rsid w:val="00EB1F0B"/>
    <w:rsid w:val="00EB3836"/>
    <w:rsid w:val="00EB47D4"/>
    <w:rsid w:val="00EB5F2D"/>
    <w:rsid w:val="00EB6560"/>
    <w:rsid w:val="00EB672B"/>
    <w:rsid w:val="00EB6AB9"/>
    <w:rsid w:val="00EB71D2"/>
    <w:rsid w:val="00EC12E1"/>
    <w:rsid w:val="00EC1448"/>
    <w:rsid w:val="00EC399C"/>
    <w:rsid w:val="00EC4B9F"/>
    <w:rsid w:val="00EC4DAE"/>
    <w:rsid w:val="00EC5546"/>
    <w:rsid w:val="00EC5E66"/>
    <w:rsid w:val="00EC650B"/>
    <w:rsid w:val="00EC74E7"/>
    <w:rsid w:val="00EC783B"/>
    <w:rsid w:val="00ED1178"/>
    <w:rsid w:val="00ED1998"/>
    <w:rsid w:val="00ED2497"/>
    <w:rsid w:val="00ED3909"/>
    <w:rsid w:val="00ED6299"/>
    <w:rsid w:val="00EE20C2"/>
    <w:rsid w:val="00EE2BFF"/>
    <w:rsid w:val="00EE2C4A"/>
    <w:rsid w:val="00EE312C"/>
    <w:rsid w:val="00EE371C"/>
    <w:rsid w:val="00EE39F7"/>
    <w:rsid w:val="00EE48B4"/>
    <w:rsid w:val="00EE511C"/>
    <w:rsid w:val="00EE575A"/>
    <w:rsid w:val="00EE5C39"/>
    <w:rsid w:val="00EE727B"/>
    <w:rsid w:val="00EF0C66"/>
    <w:rsid w:val="00EF1048"/>
    <w:rsid w:val="00EF146E"/>
    <w:rsid w:val="00EF2AE2"/>
    <w:rsid w:val="00EF2CD3"/>
    <w:rsid w:val="00EF345C"/>
    <w:rsid w:val="00EF4B35"/>
    <w:rsid w:val="00EF68CD"/>
    <w:rsid w:val="00F00AAE"/>
    <w:rsid w:val="00F02E43"/>
    <w:rsid w:val="00F032C6"/>
    <w:rsid w:val="00F06F8A"/>
    <w:rsid w:val="00F1026A"/>
    <w:rsid w:val="00F13158"/>
    <w:rsid w:val="00F13A87"/>
    <w:rsid w:val="00F1484B"/>
    <w:rsid w:val="00F15685"/>
    <w:rsid w:val="00F176D6"/>
    <w:rsid w:val="00F204D1"/>
    <w:rsid w:val="00F20A99"/>
    <w:rsid w:val="00F20BF1"/>
    <w:rsid w:val="00F20D19"/>
    <w:rsid w:val="00F20DA4"/>
    <w:rsid w:val="00F21A73"/>
    <w:rsid w:val="00F22F3E"/>
    <w:rsid w:val="00F238D5"/>
    <w:rsid w:val="00F258C1"/>
    <w:rsid w:val="00F269F9"/>
    <w:rsid w:val="00F26E90"/>
    <w:rsid w:val="00F277D6"/>
    <w:rsid w:val="00F2792A"/>
    <w:rsid w:val="00F33482"/>
    <w:rsid w:val="00F34025"/>
    <w:rsid w:val="00F344C5"/>
    <w:rsid w:val="00F34E17"/>
    <w:rsid w:val="00F37B51"/>
    <w:rsid w:val="00F37F1F"/>
    <w:rsid w:val="00F41F26"/>
    <w:rsid w:val="00F4447C"/>
    <w:rsid w:val="00F46C46"/>
    <w:rsid w:val="00F46CB3"/>
    <w:rsid w:val="00F47A2B"/>
    <w:rsid w:val="00F501A3"/>
    <w:rsid w:val="00F51051"/>
    <w:rsid w:val="00F5131B"/>
    <w:rsid w:val="00F53C48"/>
    <w:rsid w:val="00F57C68"/>
    <w:rsid w:val="00F604EC"/>
    <w:rsid w:val="00F608A7"/>
    <w:rsid w:val="00F61443"/>
    <w:rsid w:val="00F61876"/>
    <w:rsid w:val="00F61878"/>
    <w:rsid w:val="00F64847"/>
    <w:rsid w:val="00F650EB"/>
    <w:rsid w:val="00F66723"/>
    <w:rsid w:val="00F6679F"/>
    <w:rsid w:val="00F66F67"/>
    <w:rsid w:val="00F707EF"/>
    <w:rsid w:val="00F70F2F"/>
    <w:rsid w:val="00F748FE"/>
    <w:rsid w:val="00F75303"/>
    <w:rsid w:val="00F75EF4"/>
    <w:rsid w:val="00F767DA"/>
    <w:rsid w:val="00F775D9"/>
    <w:rsid w:val="00F77684"/>
    <w:rsid w:val="00F807F4"/>
    <w:rsid w:val="00F818D2"/>
    <w:rsid w:val="00F844E8"/>
    <w:rsid w:val="00F851AC"/>
    <w:rsid w:val="00F85FA1"/>
    <w:rsid w:val="00F860A4"/>
    <w:rsid w:val="00F8630E"/>
    <w:rsid w:val="00F87D1C"/>
    <w:rsid w:val="00F90315"/>
    <w:rsid w:val="00F9054B"/>
    <w:rsid w:val="00F918A5"/>
    <w:rsid w:val="00F931C0"/>
    <w:rsid w:val="00F94F8A"/>
    <w:rsid w:val="00F95210"/>
    <w:rsid w:val="00F95E63"/>
    <w:rsid w:val="00F96AF3"/>
    <w:rsid w:val="00F96CC4"/>
    <w:rsid w:val="00F96ED9"/>
    <w:rsid w:val="00F96FE6"/>
    <w:rsid w:val="00FA00A9"/>
    <w:rsid w:val="00FA28DC"/>
    <w:rsid w:val="00FA39C9"/>
    <w:rsid w:val="00FA69D6"/>
    <w:rsid w:val="00FB1752"/>
    <w:rsid w:val="00FB4906"/>
    <w:rsid w:val="00FB62D3"/>
    <w:rsid w:val="00FB6774"/>
    <w:rsid w:val="00FB6A84"/>
    <w:rsid w:val="00FB75FD"/>
    <w:rsid w:val="00FC0158"/>
    <w:rsid w:val="00FC234B"/>
    <w:rsid w:val="00FC439B"/>
    <w:rsid w:val="00FC43AD"/>
    <w:rsid w:val="00FC6154"/>
    <w:rsid w:val="00FC70B7"/>
    <w:rsid w:val="00FD2140"/>
    <w:rsid w:val="00FD30DF"/>
    <w:rsid w:val="00FD42FA"/>
    <w:rsid w:val="00FD5F6E"/>
    <w:rsid w:val="00FE0F7D"/>
    <w:rsid w:val="00FE1FAE"/>
    <w:rsid w:val="00FE2026"/>
    <w:rsid w:val="00FE20B2"/>
    <w:rsid w:val="00FE22C7"/>
    <w:rsid w:val="00FE382B"/>
    <w:rsid w:val="00FE4211"/>
    <w:rsid w:val="00FE4900"/>
    <w:rsid w:val="00FE5C6C"/>
    <w:rsid w:val="00FE6DB9"/>
    <w:rsid w:val="00FF0B2F"/>
    <w:rsid w:val="00FF15AF"/>
    <w:rsid w:val="00FF2B24"/>
    <w:rsid w:val="00FF2B3F"/>
    <w:rsid w:val="00FF2F8A"/>
    <w:rsid w:val="00FF3DC6"/>
    <w:rsid w:val="00FF502E"/>
    <w:rsid w:val="036F043B"/>
    <w:rsid w:val="04AB4620"/>
    <w:rsid w:val="05107A0D"/>
    <w:rsid w:val="07E662CC"/>
    <w:rsid w:val="08C43283"/>
    <w:rsid w:val="095C36F5"/>
    <w:rsid w:val="0A1F722F"/>
    <w:rsid w:val="0A4E5D6C"/>
    <w:rsid w:val="0A6B7CBF"/>
    <w:rsid w:val="0BB625EA"/>
    <w:rsid w:val="0BEA3FF6"/>
    <w:rsid w:val="0BF30CC9"/>
    <w:rsid w:val="0C651679"/>
    <w:rsid w:val="0C6B5185"/>
    <w:rsid w:val="0DC573BC"/>
    <w:rsid w:val="0E123300"/>
    <w:rsid w:val="0E6C7894"/>
    <w:rsid w:val="0F8C47BA"/>
    <w:rsid w:val="0FDC08E8"/>
    <w:rsid w:val="102640CF"/>
    <w:rsid w:val="10725CF5"/>
    <w:rsid w:val="10D06747"/>
    <w:rsid w:val="11673F9D"/>
    <w:rsid w:val="11CB1D14"/>
    <w:rsid w:val="12290F17"/>
    <w:rsid w:val="12B761B2"/>
    <w:rsid w:val="1419142A"/>
    <w:rsid w:val="14846DF3"/>
    <w:rsid w:val="159A10D8"/>
    <w:rsid w:val="167C49D5"/>
    <w:rsid w:val="16DF425A"/>
    <w:rsid w:val="17ED482F"/>
    <w:rsid w:val="182708AD"/>
    <w:rsid w:val="18AD1DCB"/>
    <w:rsid w:val="18DF7F95"/>
    <w:rsid w:val="19A075E2"/>
    <w:rsid w:val="19B3135B"/>
    <w:rsid w:val="1A5C705F"/>
    <w:rsid w:val="1A881036"/>
    <w:rsid w:val="1A8E6040"/>
    <w:rsid w:val="1B495EBE"/>
    <w:rsid w:val="1B9605E4"/>
    <w:rsid w:val="1CFF2303"/>
    <w:rsid w:val="1D702053"/>
    <w:rsid w:val="1EE63289"/>
    <w:rsid w:val="1F402C16"/>
    <w:rsid w:val="21FC6C3C"/>
    <w:rsid w:val="22D66950"/>
    <w:rsid w:val="24E82209"/>
    <w:rsid w:val="255D49E1"/>
    <w:rsid w:val="2627071D"/>
    <w:rsid w:val="263A1403"/>
    <w:rsid w:val="27121591"/>
    <w:rsid w:val="280D1849"/>
    <w:rsid w:val="283050C2"/>
    <w:rsid w:val="284212CC"/>
    <w:rsid w:val="28F169CA"/>
    <w:rsid w:val="2941765D"/>
    <w:rsid w:val="29A24ACE"/>
    <w:rsid w:val="2AA249A2"/>
    <w:rsid w:val="2AD46476"/>
    <w:rsid w:val="2B430D06"/>
    <w:rsid w:val="2BB66DC8"/>
    <w:rsid w:val="2BF249C2"/>
    <w:rsid w:val="2C1A70D9"/>
    <w:rsid w:val="2C1C4C91"/>
    <w:rsid w:val="2C901B74"/>
    <w:rsid w:val="2D693ADE"/>
    <w:rsid w:val="2D82063C"/>
    <w:rsid w:val="2E2231CB"/>
    <w:rsid w:val="2E985BF5"/>
    <w:rsid w:val="2F113FE1"/>
    <w:rsid w:val="2F146157"/>
    <w:rsid w:val="2F375BA7"/>
    <w:rsid w:val="2F4B6973"/>
    <w:rsid w:val="2FF90A4A"/>
    <w:rsid w:val="305723AB"/>
    <w:rsid w:val="3066274F"/>
    <w:rsid w:val="306A6D8A"/>
    <w:rsid w:val="30D65CB0"/>
    <w:rsid w:val="30FC52A7"/>
    <w:rsid w:val="31F51128"/>
    <w:rsid w:val="31FC6E8C"/>
    <w:rsid w:val="32EC5295"/>
    <w:rsid w:val="37D309DF"/>
    <w:rsid w:val="384B4763"/>
    <w:rsid w:val="39116B23"/>
    <w:rsid w:val="39BC1D15"/>
    <w:rsid w:val="3A0569BF"/>
    <w:rsid w:val="3A522DB9"/>
    <w:rsid w:val="3A571D5F"/>
    <w:rsid w:val="3A7E3875"/>
    <w:rsid w:val="3AA10616"/>
    <w:rsid w:val="3C2208EF"/>
    <w:rsid w:val="3ED02AF0"/>
    <w:rsid w:val="3F540E68"/>
    <w:rsid w:val="3F5E17FA"/>
    <w:rsid w:val="404D5D65"/>
    <w:rsid w:val="40E50460"/>
    <w:rsid w:val="417E6081"/>
    <w:rsid w:val="41BF4827"/>
    <w:rsid w:val="420005CB"/>
    <w:rsid w:val="422A0A23"/>
    <w:rsid w:val="422E1358"/>
    <w:rsid w:val="42B04F79"/>
    <w:rsid w:val="43B25FAC"/>
    <w:rsid w:val="442F4609"/>
    <w:rsid w:val="44900C17"/>
    <w:rsid w:val="44EC29CF"/>
    <w:rsid w:val="452E0E94"/>
    <w:rsid w:val="45B71870"/>
    <w:rsid w:val="46931D8A"/>
    <w:rsid w:val="470D27B6"/>
    <w:rsid w:val="479960D4"/>
    <w:rsid w:val="479F707E"/>
    <w:rsid w:val="482C0DA2"/>
    <w:rsid w:val="493853EA"/>
    <w:rsid w:val="49AE1582"/>
    <w:rsid w:val="4A137F04"/>
    <w:rsid w:val="4C2B09FA"/>
    <w:rsid w:val="4D9D4165"/>
    <w:rsid w:val="4DB30FD2"/>
    <w:rsid w:val="4E0F49EE"/>
    <w:rsid w:val="4E2F6C3C"/>
    <w:rsid w:val="4E455BC6"/>
    <w:rsid w:val="50973D42"/>
    <w:rsid w:val="51DA2952"/>
    <w:rsid w:val="521C0E75"/>
    <w:rsid w:val="52C43F16"/>
    <w:rsid w:val="53C778E7"/>
    <w:rsid w:val="54CE5DA5"/>
    <w:rsid w:val="550B23A8"/>
    <w:rsid w:val="5514781F"/>
    <w:rsid w:val="56177C52"/>
    <w:rsid w:val="564D4FD2"/>
    <w:rsid w:val="581040A2"/>
    <w:rsid w:val="583907EE"/>
    <w:rsid w:val="59794086"/>
    <w:rsid w:val="5A36247A"/>
    <w:rsid w:val="5BF9000E"/>
    <w:rsid w:val="5BFC28E9"/>
    <w:rsid w:val="5C5B001D"/>
    <w:rsid w:val="5D04750C"/>
    <w:rsid w:val="5DBD55BF"/>
    <w:rsid w:val="5E80367D"/>
    <w:rsid w:val="5E93327F"/>
    <w:rsid w:val="5F716BC3"/>
    <w:rsid w:val="60066FE2"/>
    <w:rsid w:val="615E37A1"/>
    <w:rsid w:val="61865699"/>
    <w:rsid w:val="618E3D59"/>
    <w:rsid w:val="62043A8E"/>
    <w:rsid w:val="6310019E"/>
    <w:rsid w:val="637877CB"/>
    <w:rsid w:val="63A444B3"/>
    <w:rsid w:val="65F83750"/>
    <w:rsid w:val="66636552"/>
    <w:rsid w:val="667F4975"/>
    <w:rsid w:val="67346606"/>
    <w:rsid w:val="67F44892"/>
    <w:rsid w:val="68BC7510"/>
    <w:rsid w:val="69F91FE8"/>
    <w:rsid w:val="6A6F02B3"/>
    <w:rsid w:val="6AD11EC3"/>
    <w:rsid w:val="6ADA2C7B"/>
    <w:rsid w:val="6AED514F"/>
    <w:rsid w:val="6B525E12"/>
    <w:rsid w:val="6B561335"/>
    <w:rsid w:val="6BB00808"/>
    <w:rsid w:val="6CF12F5B"/>
    <w:rsid w:val="6E1E786B"/>
    <w:rsid w:val="6F167EBA"/>
    <w:rsid w:val="70176A66"/>
    <w:rsid w:val="70731BC8"/>
    <w:rsid w:val="722731C5"/>
    <w:rsid w:val="73516822"/>
    <w:rsid w:val="73606BB0"/>
    <w:rsid w:val="742C10EC"/>
    <w:rsid w:val="7547409A"/>
    <w:rsid w:val="75BE5A08"/>
    <w:rsid w:val="75C33ACC"/>
    <w:rsid w:val="76C7281E"/>
    <w:rsid w:val="7AF20506"/>
    <w:rsid w:val="7B59792F"/>
    <w:rsid w:val="7BD04496"/>
    <w:rsid w:val="7BF76798"/>
    <w:rsid w:val="7D3D60A8"/>
    <w:rsid w:val="7D935182"/>
    <w:rsid w:val="7D9E5329"/>
    <w:rsid w:val="7E655B4F"/>
    <w:rsid w:val="7E907AA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99"/>
    <w:pPr>
      <w:keepNext/>
      <w:keepLines/>
      <w:spacing w:beforeLines="100" w:afterLines="80" w:line="360" w:lineRule="auto"/>
      <w:jc w:val="center"/>
      <w:outlineLvl w:val="0"/>
    </w:pPr>
    <w:rPr>
      <w:b/>
      <w:bCs/>
      <w:kern w:val="44"/>
      <w:sz w:val="32"/>
      <w:szCs w:val="44"/>
    </w:rPr>
  </w:style>
  <w:style w:type="paragraph" w:styleId="4">
    <w:name w:val="heading 2"/>
    <w:basedOn w:val="1"/>
    <w:next w:val="1"/>
    <w:link w:val="67"/>
    <w:qFormat/>
    <w:uiPriority w:val="99"/>
    <w:pPr>
      <w:keepNext/>
      <w:keepLines/>
      <w:spacing w:beforeLines="80" w:afterLines="50" w:line="360" w:lineRule="auto"/>
      <w:outlineLvl w:val="1"/>
    </w:pPr>
    <w:rPr>
      <w:rFonts w:ascii="Arial" w:hAnsi="Arial"/>
      <w:b/>
      <w:bCs/>
      <w:sz w:val="28"/>
      <w:szCs w:val="32"/>
    </w:rPr>
  </w:style>
  <w:style w:type="paragraph" w:styleId="5">
    <w:name w:val="heading 3"/>
    <w:basedOn w:val="1"/>
    <w:next w:val="1"/>
    <w:link w:val="46"/>
    <w:qFormat/>
    <w:uiPriority w:val="99"/>
    <w:pPr>
      <w:keepNext/>
      <w:keepLines/>
      <w:spacing w:beforeLines="30" w:afterLines="30" w:line="360" w:lineRule="auto"/>
      <w:outlineLvl w:val="2"/>
    </w:pPr>
    <w:rPr>
      <w:b/>
      <w:bCs/>
      <w:sz w:val="24"/>
      <w:szCs w:val="32"/>
    </w:rPr>
  </w:style>
  <w:style w:type="paragraph" w:styleId="6">
    <w:name w:val="heading 4"/>
    <w:basedOn w:val="1"/>
    <w:next w:val="1"/>
    <w:link w:val="47"/>
    <w:qFormat/>
    <w:uiPriority w:val="99"/>
    <w:pPr>
      <w:keepNext/>
      <w:keepLines/>
      <w:spacing w:before="280" w:after="290" w:line="376" w:lineRule="auto"/>
      <w:outlineLvl w:val="3"/>
    </w:pPr>
    <w:rPr>
      <w:rFonts w:ascii="Arial" w:hAnsi="Arial" w:eastAsia="黑体"/>
      <w:b/>
      <w:bCs/>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pPr>
    <w:rPr>
      <w:rFonts w:ascii="Arial" w:hAnsi="Arial" w:eastAsia="黑体"/>
      <w:b/>
      <w:bCs/>
      <w:sz w:val="28"/>
      <w:szCs w:val="28"/>
    </w:rPr>
  </w:style>
  <w:style w:type="paragraph" w:styleId="7">
    <w:name w:val="toc 7"/>
    <w:basedOn w:val="1"/>
    <w:next w:val="1"/>
    <w:qFormat/>
    <w:uiPriority w:val="99"/>
    <w:pPr>
      <w:ind w:left="1050"/>
      <w:jc w:val="left"/>
    </w:pPr>
    <w:rPr>
      <w:rFonts w:ascii="Calibri" w:hAnsi="Calibri"/>
      <w:sz w:val="20"/>
      <w:szCs w:val="20"/>
    </w:rPr>
  </w:style>
  <w:style w:type="paragraph" w:styleId="8">
    <w:name w:val="Normal Indent"/>
    <w:basedOn w:val="1"/>
    <w:link w:val="101"/>
    <w:qFormat/>
    <w:uiPriority w:val="99"/>
    <w:pPr>
      <w:ind w:firstLine="560" w:firstLineChars="200"/>
    </w:pPr>
    <w:rPr>
      <w:sz w:val="28"/>
      <w:szCs w:val="20"/>
    </w:rPr>
  </w:style>
  <w:style w:type="paragraph" w:styleId="9">
    <w:name w:val="Document Map"/>
    <w:basedOn w:val="1"/>
    <w:link w:val="82"/>
    <w:qFormat/>
    <w:uiPriority w:val="99"/>
    <w:pPr>
      <w:shd w:val="clear" w:color="auto" w:fill="000080"/>
    </w:pPr>
    <w:rPr>
      <w:sz w:val="24"/>
      <w:szCs w:val="20"/>
    </w:rPr>
  </w:style>
  <w:style w:type="paragraph" w:styleId="10">
    <w:name w:val="annotation text"/>
    <w:basedOn w:val="1"/>
    <w:link w:val="76"/>
    <w:qFormat/>
    <w:uiPriority w:val="99"/>
    <w:pPr>
      <w:jc w:val="left"/>
    </w:pPr>
    <w:rPr>
      <w:sz w:val="24"/>
      <w:szCs w:val="20"/>
    </w:rPr>
  </w:style>
  <w:style w:type="paragraph" w:styleId="11">
    <w:name w:val="Body Text 3"/>
    <w:basedOn w:val="1"/>
    <w:link w:val="83"/>
    <w:qFormat/>
    <w:uiPriority w:val="99"/>
    <w:pPr>
      <w:spacing w:after="120"/>
    </w:pPr>
    <w:rPr>
      <w:sz w:val="16"/>
      <w:szCs w:val="16"/>
    </w:rPr>
  </w:style>
  <w:style w:type="paragraph" w:styleId="12">
    <w:name w:val="Body Text"/>
    <w:basedOn w:val="1"/>
    <w:next w:val="1"/>
    <w:qFormat/>
    <w:locked/>
    <w:uiPriority w:val="0"/>
    <w:pPr>
      <w:spacing w:after="120"/>
    </w:pPr>
  </w:style>
  <w:style w:type="paragraph" w:styleId="13">
    <w:name w:val="Body Text Indent"/>
    <w:basedOn w:val="1"/>
    <w:link w:val="77"/>
    <w:qFormat/>
    <w:uiPriority w:val="99"/>
    <w:pPr>
      <w:spacing w:after="120"/>
      <w:ind w:left="420" w:leftChars="200"/>
    </w:pPr>
  </w:style>
  <w:style w:type="paragraph" w:styleId="14">
    <w:name w:val="toc 5"/>
    <w:basedOn w:val="1"/>
    <w:next w:val="1"/>
    <w:qFormat/>
    <w:uiPriority w:val="99"/>
    <w:pPr>
      <w:ind w:left="630"/>
      <w:jc w:val="left"/>
    </w:pPr>
    <w:rPr>
      <w:rFonts w:ascii="Calibri" w:hAnsi="Calibri"/>
      <w:sz w:val="20"/>
      <w:szCs w:val="20"/>
    </w:rPr>
  </w:style>
  <w:style w:type="paragraph" w:styleId="15">
    <w:name w:val="toc 3"/>
    <w:basedOn w:val="1"/>
    <w:next w:val="1"/>
    <w:qFormat/>
    <w:uiPriority w:val="39"/>
    <w:pPr>
      <w:ind w:left="210"/>
      <w:jc w:val="left"/>
    </w:pPr>
    <w:rPr>
      <w:rFonts w:ascii="Calibri" w:hAnsi="Calibri"/>
      <w:sz w:val="20"/>
      <w:szCs w:val="20"/>
    </w:rPr>
  </w:style>
  <w:style w:type="paragraph" w:styleId="16">
    <w:name w:val="Plain Text"/>
    <w:basedOn w:val="1"/>
    <w:link w:val="84"/>
    <w:qFormat/>
    <w:uiPriority w:val="99"/>
    <w:rPr>
      <w:rFonts w:ascii="宋体" w:hAnsi="Courier New" w:cs="Courier New"/>
      <w:szCs w:val="21"/>
    </w:rPr>
  </w:style>
  <w:style w:type="paragraph" w:styleId="17">
    <w:name w:val="toc 8"/>
    <w:basedOn w:val="1"/>
    <w:next w:val="1"/>
    <w:qFormat/>
    <w:uiPriority w:val="99"/>
    <w:pPr>
      <w:ind w:left="1260"/>
      <w:jc w:val="left"/>
    </w:pPr>
    <w:rPr>
      <w:rFonts w:ascii="Calibri" w:hAnsi="Calibri"/>
      <w:sz w:val="20"/>
      <w:szCs w:val="20"/>
    </w:rPr>
  </w:style>
  <w:style w:type="paragraph" w:styleId="18">
    <w:name w:val="Date"/>
    <w:basedOn w:val="1"/>
    <w:next w:val="1"/>
    <w:link w:val="86"/>
    <w:qFormat/>
    <w:uiPriority w:val="99"/>
    <w:pPr>
      <w:ind w:left="100" w:leftChars="2500"/>
    </w:pPr>
    <w:rPr>
      <w:sz w:val="24"/>
      <w:szCs w:val="20"/>
    </w:rPr>
  </w:style>
  <w:style w:type="paragraph" w:styleId="19">
    <w:name w:val="Body Text Indent 2"/>
    <w:basedOn w:val="1"/>
    <w:link w:val="48"/>
    <w:qFormat/>
    <w:uiPriority w:val="99"/>
    <w:pPr>
      <w:snapToGrid w:val="0"/>
      <w:spacing w:line="500" w:lineRule="exact"/>
      <w:ind w:firstLine="420" w:firstLineChars="175"/>
    </w:pPr>
    <w:rPr>
      <w:rFonts w:ascii="Calibri" w:hAnsi="Calibri" w:cs="Calibri"/>
      <w:sz w:val="24"/>
    </w:rPr>
  </w:style>
  <w:style w:type="paragraph" w:styleId="20">
    <w:name w:val="Balloon Text"/>
    <w:basedOn w:val="1"/>
    <w:link w:val="49"/>
    <w:qFormat/>
    <w:uiPriority w:val="99"/>
    <w:rPr>
      <w:sz w:val="18"/>
      <w:szCs w:val="18"/>
    </w:rPr>
  </w:style>
  <w:style w:type="paragraph" w:styleId="21">
    <w:name w:val="footer"/>
    <w:basedOn w:val="1"/>
    <w:link w:val="50"/>
    <w:qFormat/>
    <w:uiPriority w:val="99"/>
    <w:pPr>
      <w:tabs>
        <w:tab w:val="center" w:pos="4153"/>
        <w:tab w:val="right" w:pos="8306"/>
      </w:tabs>
      <w:snapToGrid w:val="0"/>
      <w:jc w:val="left"/>
    </w:pPr>
    <w:rPr>
      <w:sz w:val="18"/>
    </w:rPr>
  </w:style>
  <w:style w:type="paragraph" w:styleId="22">
    <w:name w:val="header"/>
    <w:basedOn w:val="1"/>
    <w:link w:val="51"/>
    <w:qFormat/>
    <w:uiPriority w:val="99"/>
    <w:pPr>
      <w:pBdr>
        <w:bottom w:val="single" w:color="auto" w:sz="6" w:space="1"/>
      </w:pBdr>
      <w:tabs>
        <w:tab w:val="center" w:pos="4153"/>
        <w:tab w:val="right" w:pos="8306"/>
      </w:tabs>
      <w:snapToGrid w:val="0"/>
      <w:jc w:val="center"/>
    </w:pPr>
    <w:rPr>
      <w:sz w:val="18"/>
    </w:rPr>
  </w:style>
  <w:style w:type="paragraph" w:styleId="23">
    <w:name w:val="toc 1"/>
    <w:basedOn w:val="1"/>
    <w:next w:val="1"/>
    <w:qFormat/>
    <w:uiPriority w:val="39"/>
    <w:pPr>
      <w:spacing w:before="360"/>
      <w:jc w:val="left"/>
    </w:pPr>
    <w:rPr>
      <w:rFonts w:ascii="Cambria" w:hAnsi="Cambria"/>
      <w:b/>
      <w:bCs/>
      <w:caps/>
      <w:sz w:val="24"/>
    </w:rPr>
  </w:style>
  <w:style w:type="paragraph" w:styleId="24">
    <w:name w:val="toc 4"/>
    <w:basedOn w:val="1"/>
    <w:next w:val="1"/>
    <w:qFormat/>
    <w:uiPriority w:val="99"/>
    <w:pPr>
      <w:ind w:left="420"/>
      <w:jc w:val="left"/>
    </w:pPr>
    <w:rPr>
      <w:rFonts w:ascii="Calibri" w:hAnsi="Calibri"/>
      <w:sz w:val="20"/>
      <w:szCs w:val="20"/>
    </w:rPr>
  </w:style>
  <w:style w:type="paragraph" w:styleId="25">
    <w:name w:val="Subtitle"/>
    <w:basedOn w:val="1"/>
    <w:link w:val="89"/>
    <w:qFormat/>
    <w:uiPriority w:val="99"/>
    <w:pPr>
      <w:widowControl/>
      <w:spacing w:before="100" w:beforeAutospacing="1" w:after="100" w:afterAutospacing="1" w:line="360" w:lineRule="auto"/>
      <w:jc w:val="center"/>
      <w:textAlignment w:val="baseline"/>
      <w:outlineLvl w:val="1"/>
    </w:pPr>
    <w:rPr>
      <w:rFonts w:ascii="Arial" w:hAnsi="Arial" w:eastAsia="黑体"/>
      <w:color w:val="000000"/>
      <w:kern w:val="28"/>
      <w:sz w:val="32"/>
      <w:szCs w:val="20"/>
      <w:u w:color="000000"/>
    </w:rPr>
  </w:style>
  <w:style w:type="paragraph" w:styleId="26">
    <w:name w:val="toc 6"/>
    <w:basedOn w:val="1"/>
    <w:next w:val="1"/>
    <w:qFormat/>
    <w:uiPriority w:val="99"/>
    <w:pPr>
      <w:ind w:left="840"/>
      <w:jc w:val="left"/>
    </w:pPr>
    <w:rPr>
      <w:rFonts w:ascii="Calibri" w:hAnsi="Calibri"/>
      <w:sz w:val="20"/>
      <w:szCs w:val="20"/>
    </w:rPr>
  </w:style>
  <w:style w:type="paragraph" w:styleId="27">
    <w:name w:val="Body Text Indent 3"/>
    <w:basedOn w:val="1"/>
    <w:link w:val="91"/>
    <w:qFormat/>
    <w:uiPriority w:val="99"/>
    <w:pPr>
      <w:ind w:firstLine="420" w:firstLineChars="200"/>
    </w:pPr>
    <w:rPr>
      <w:rFonts w:ascii="宋体" w:hAnsi="宋体"/>
    </w:rPr>
  </w:style>
  <w:style w:type="paragraph" w:styleId="28">
    <w:name w:val="toc 2"/>
    <w:basedOn w:val="1"/>
    <w:next w:val="1"/>
    <w:qFormat/>
    <w:uiPriority w:val="39"/>
    <w:pPr>
      <w:spacing w:before="240"/>
      <w:jc w:val="left"/>
    </w:pPr>
    <w:rPr>
      <w:rFonts w:ascii="Calibri" w:hAnsi="Calibri"/>
      <w:b/>
      <w:bCs/>
      <w:sz w:val="20"/>
      <w:szCs w:val="20"/>
    </w:rPr>
  </w:style>
  <w:style w:type="paragraph" w:styleId="29">
    <w:name w:val="toc 9"/>
    <w:basedOn w:val="1"/>
    <w:next w:val="1"/>
    <w:qFormat/>
    <w:uiPriority w:val="99"/>
    <w:pPr>
      <w:ind w:left="1470"/>
      <w:jc w:val="left"/>
    </w:pPr>
    <w:rPr>
      <w:rFonts w:ascii="Calibri" w:hAnsi="Calibri"/>
      <w:sz w:val="20"/>
      <w:szCs w:val="20"/>
    </w:rPr>
  </w:style>
  <w:style w:type="paragraph" w:styleId="30">
    <w:name w:val="HTML Preformatted"/>
    <w:basedOn w:val="1"/>
    <w:link w:val="10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1">
    <w:name w:val="Normal (Web)"/>
    <w:basedOn w:val="1"/>
    <w:link w:val="100"/>
    <w:qFormat/>
    <w:uiPriority w:val="99"/>
    <w:pPr>
      <w:widowControl/>
      <w:spacing w:before="100" w:beforeAutospacing="1" w:after="100" w:afterAutospacing="1"/>
      <w:jc w:val="left"/>
    </w:pPr>
    <w:rPr>
      <w:rFonts w:ascii="宋体"/>
      <w:kern w:val="0"/>
      <w:sz w:val="24"/>
      <w:szCs w:val="20"/>
    </w:rPr>
  </w:style>
  <w:style w:type="paragraph" w:styleId="32">
    <w:name w:val="Title"/>
    <w:basedOn w:val="1"/>
    <w:next w:val="1"/>
    <w:link w:val="52"/>
    <w:qFormat/>
    <w:uiPriority w:val="99"/>
    <w:pPr>
      <w:spacing w:before="240" w:after="60"/>
      <w:jc w:val="center"/>
      <w:outlineLvl w:val="0"/>
    </w:pPr>
    <w:rPr>
      <w:rFonts w:ascii="Cambria" w:hAnsi="Cambria"/>
      <w:b/>
      <w:bCs/>
      <w:sz w:val="32"/>
      <w:szCs w:val="32"/>
    </w:rPr>
  </w:style>
  <w:style w:type="paragraph" w:styleId="33">
    <w:name w:val="annotation subject"/>
    <w:basedOn w:val="10"/>
    <w:next w:val="10"/>
    <w:link w:val="79"/>
    <w:qFormat/>
    <w:uiPriority w:val="99"/>
    <w:rPr>
      <w:b/>
    </w:rPr>
  </w:style>
  <w:style w:type="paragraph" w:styleId="34">
    <w:name w:val="Body Text First Indent"/>
    <w:basedOn w:val="12"/>
    <w:next w:val="1"/>
    <w:semiHidden/>
    <w:unhideWhenUsed/>
    <w:qFormat/>
    <w:locked/>
    <w:uiPriority w:val="99"/>
    <w:pPr>
      <w:ind w:firstLine="420" w:firstLineChars="100"/>
    </w:pPr>
    <w:rPr>
      <w:rFonts w:ascii="Calibri" w:hAnsi="Calibri" w:eastAsia="宋体" w:cs="Times New Roman"/>
      <w:szCs w:val="22"/>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99"/>
    <w:rPr>
      <w:rFonts w:cs="Times New Roman"/>
      <w:b/>
    </w:rPr>
  </w:style>
  <w:style w:type="character" w:styleId="39">
    <w:name w:val="page number"/>
    <w:qFormat/>
    <w:uiPriority w:val="99"/>
    <w:rPr>
      <w:rFonts w:cs="Times New Roman"/>
    </w:rPr>
  </w:style>
  <w:style w:type="character" w:styleId="40">
    <w:name w:val="FollowedHyperlink"/>
    <w:qFormat/>
    <w:uiPriority w:val="99"/>
    <w:rPr>
      <w:rFonts w:cs="Times New Roman"/>
      <w:color w:val="800080"/>
      <w:u w:val="single"/>
    </w:rPr>
  </w:style>
  <w:style w:type="character" w:styleId="41">
    <w:name w:val="Emphasis"/>
    <w:qFormat/>
    <w:uiPriority w:val="99"/>
    <w:rPr>
      <w:rFonts w:cs="Times New Roman"/>
      <w:color w:val="CC0033"/>
    </w:rPr>
  </w:style>
  <w:style w:type="character" w:styleId="42">
    <w:name w:val="Hyperlink"/>
    <w:qFormat/>
    <w:uiPriority w:val="99"/>
    <w:rPr>
      <w:rFonts w:cs="Times New Roman"/>
      <w:color w:val="0000FF"/>
      <w:u w:val="single"/>
    </w:rPr>
  </w:style>
  <w:style w:type="character" w:styleId="43">
    <w:name w:val="annotation reference"/>
    <w:qFormat/>
    <w:uiPriority w:val="99"/>
    <w:rPr>
      <w:rFonts w:cs="Times New Roman"/>
      <w:sz w:val="21"/>
    </w:rPr>
  </w:style>
  <w:style w:type="character" w:customStyle="1" w:styleId="44">
    <w:name w:val="标题 1 Char"/>
    <w:link w:val="3"/>
    <w:qFormat/>
    <w:locked/>
    <w:uiPriority w:val="99"/>
    <w:rPr>
      <w:rFonts w:cs="Times New Roman"/>
      <w:b/>
      <w:bCs/>
      <w:kern w:val="44"/>
      <w:sz w:val="44"/>
      <w:szCs w:val="44"/>
    </w:rPr>
  </w:style>
  <w:style w:type="character" w:customStyle="1" w:styleId="45">
    <w:name w:val="Heading 2 Char"/>
    <w:qFormat/>
    <w:locked/>
    <w:uiPriority w:val="99"/>
    <w:rPr>
      <w:rFonts w:ascii="Cambria" w:hAnsi="Cambria" w:eastAsia="黑体" w:cs="Times New Roman"/>
      <w:kern w:val="2"/>
      <w:sz w:val="32"/>
    </w:rPr>
  </w:style>
  <w:style w:type="character" w:customStyle="1" w:styleId="46">
    <w:name w:val="标题 3 Char"/>
    <w:link w:val="5"/>
    <w:qFormat/>
    <w:locked/>
    <w:uiPriority w:val="99"/>
    <w:rPr>
      <w:rFonts w:cs="Times New Roman"/>
      <w:b/>
      <w:bCs/>
      <w:kern w:val="2"/>
      <w:sz w:val="32"/>
      <w:szCs w:val="32"/>
    </w:rPr>
  </w:style>
  <w:style w:type="character" w:customStyle="1" w:styleId="47">
    <w:name w:val="标题 4 Char"/>
    <w:link w:val="6"/>
    <w:qFormat/>
    <w:locked/>
    <w:uiPriority w:val="99"/>
    <w:rPr>
      <w:rFonts w:ascii="Arial" w:hAnsi="Arial" w:eastAsia="黑体" w:cs="Times New Roman"/>
      <w:b/>
      <w:bCs/>
      <w:kern w:val="2"/>
      <w:sz w:val="28"/>
      <w:szCs w:val="28"/>
    </w:rPr>
  </w:style>
  <w:style w:type="character" w:customStyle="1" w:styleId="48">
    <w:name w:val="正文文本缩进 2 Char"/>
    <w:link w:val="19"/>
    <w:semiHidden/>
    <w:qFormat/>
    <w:locked/>
    <w:uiPriority w:val="99"/>
    <w:rPr>
      <w:rFonts w:ascii="Calibri" w:hAnsi="Calibri" w:eastAsia="宋体" w:cs="Calibri"/>
      <w:kern w:val="2"/>
      <w:sz w:val="24"/>
      <w:szCs w:val="24"/>
      <w:lang w:val="en-US" w:eastAsia="zh-CN" w:bidi="ar-SA"/>
    </w:rPr>
  </w:style>
  <w:style w:type="character" w:customStyle="1" w:styleId="49">
    <w:name w:val="批注框文本 Char"/>
    <w:link w:val="20"/>
    <w:qFormat/>
    <w:locked/>
    <w:uiPriority w:val="99"/>
    <w:rPr>
      <w:rFonts w:cs="Times New Roman"/>
      <w:kern w:val="2"/>
      <w:sz w:val="18"/>
    </w:rPr>
  </w:style>
  <w:style w:type="character" w:customStyle="1" w:styleId="50">
    <w:name w:val="页脚 Char"/>
    <w:link w:val="21"/>
    <w:qFormat/>
    <w:locked/>
    <w:uiPriority w:val="99"/>
    <w:rPr>
      <w:rFonts w:cs="Times New Roman"/>
      <w:kern w:val="2"/>
      <w:sz w:val="24"/>
    </w:rPr>
  </w:style>
  <w:style w:type="character" w:customStyle="1" w:styleId="51">
    <w:name w:val="页眉 Char"/>
    <w:link w:val="22"/>
    <w:qFormat/>
    <w:locked/>
    <w:uiPriority w:val="99"/>
    <w:rPr>
      <w:rFonts w:cs="Times New Roman"/>
      <w:kern w:val="2"/>
      <w:sz w:val="24"/>
    </w:rPr>
  </w:style>
  <w:style w:type="character" w:customStyle="1" w:styleId="52">
    <w:name w:val="标题 Char"/>
    <w:link w:val="32"/>
    <w:qFormat/>
    <w:locked/>
    <w:uiPriority w:val="99"/>
    <w:rPr>
      <w:rFonts w:ascii="Cambria" w:hAnsi="Cambria" w:cs="Times New Roman"/>
      <w:b/>
      <w:bCs/>
      <w:kern w:val="2"/>
      <w:sz w:val="32"/>
      <w:szCs w:val="32"/>
    </w:rPr>
  </w:style>
  <w:style w:type="paragraph" w:customStyle="1" w:styleId="53">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54">
    <w:name w:val="font7"/>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5">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6">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57">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58">
    <w:name w:val="font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9">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60">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61">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62">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rPr>
  </w:style>
  <w:style w:type="paragraph" w:customStyle="1" w:styleId="63">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64">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65">
    <w:name w:val="列出段落1"/>
    <w:basedOn w:val="1"/>
    <w:qFormat/>
    <w:uiPriority w:val="99"/>
    <w:pPr>
      <w:ind w:firstLine="420" w:firstLineChars="200"/>
    </w:pPr>
  </w:style>
  <w:style w:type="paragraph" w:styleId="66">
    <w:name w:val="List Paragraph"/>
    <w:basedOn w:val="1"/>
    <w:qFormat/>
    <w:uiPriority w:val="34"/>
    <w:pPr>
      <w:ind w:firstLine="420" w:firstLineChars="200"/>
    </w:pPr>
  </w:style>
  <w:style w:type="character" w:customStyle="1" w:styleId="67">
    <w:name w:val="标题 2 Char"/>
    <w:link w:val="4"/>
    <w:qFormat/>
    <w:locked/>
    <w:uiPriority w:val="99"/>
    <w:rPr>
      <w:rFonts w:ascii="Arial" w:hAnsi="Arial" w:eastAsia="宋体" w:cs="Times New Roman"/>
      <w:b/>
      <w:bCs/>
      <w:kern w:val="2"/>
      <w:sz w:val="32"/>
      <w:szCs w:val="32"/>
    </w:rPr>
  </w:style>
  <w:style w:type="character" w:customStyle="1" w:styleId="68">
    <w:name w:val="apple-style-span"/>
    <w:qFormat/>
    <w:uiPriority w:val="99"/>
  </w:style>
  <w:style w:type="character" w:customStyle="1" w:styleId="69">
    <w:name w:val="Char Char2"/>
    <w:qFormat/>
    <w:uiPriority w:val="99"/>
    <w:rPr>
      <w:rFonts w:ascii="Arial" w:hAnsi="Arial" w:eastAsia="黑体"/>
      <w:b/>
      <w:kern w:val="2"/>
      <w:sz w:val="32"/>
      <w:lang w:val="en-US" w:eastAsia="zh-CN"/>
    </w:rPr>
  </w:style>
  <w:style w:type="character" w:customStyle="1" w:styleId="70">
    <w:name w:val="Subtitle Char"/>
    <w:qFormat/>
    <w:locked/>
    <w:uiPriority w:val="99"/>
    <w:rPr>
      <w:rFonts w:ascii="Arial" w:hAnsi="Arial" w:eastAsia="黑体"/>
      <w:color w:val="000000"/>
      <w:kern w:val="28"/>
      <w:sz w:val="32"/>
      <w:u w:color="000000"/>
    </w:rPr>
  </w:style>
  <w:style w:type="character" w:customStyle="1" w:styleId="71">
    <w:name w:val="Comment Subject Char"/>
    <w:qFormat/>
    <w:locked/>
    <w:uiPriority w:val="99"/>
    <w:rPr>
      <w:b/>
      <w:kern w:val="2"/>
      <w:sz w:val="24"/>
    </w:rPr>
  </w:style>
  <w:style w:type="character" w:customStyle="1" w:styleId="72">
    <w:name w:val="Document Map Char"/>
    <w:qFormat/>
    <w:locked/>
    <w:uiPriority w:val="99"/>
    <w:rPr>
      <w:kern w:val="2"/>
      <w:sz w:val="24"/>
      <w:shd w:val="clear" w:color="auto" w:fill="000080"/>
    </w:rPr>
  </w:style>
  <w:style w:type="character" w:customStyle="1" w:styleId="73">
    <w:name w:val="Date Char"/>
    <w:qFormat/>
    <w:locked/>
    <w:uiPriority w:val="99"/>
    <w:rPr>
      <w:kern w:val="2"/>
      <w:sz w:val="24"/>
    </w:rPr>
  </w:style>
  <w:style w:type="character" w:customStyle="1" w:styleId="74">
    <w:name w:val="Comment Text Char"/>
    <w:qFormat/>
    <w:locked/>
    <w:uiPriority w:val="99"/>
    <w:rPr>
      <w:kern w:val="2"/>
      <w:sz w:val="24"/>
    </w:rPr>
  </w:style>
  <w:style w:type="character" w:customStyle="1" w:styleId="75">
    <w:name w:val="Comment Text Char1"/>
    <w:semiHidden/>
    <w:qFormat/>
    <w:locked/>
    <w:uiPriority w:val="99"/>
    <w:rPr>
      <w:rFonts w:cs="Times New Roman"/>
      <w:sz w:val="24"/>
      <w:szCs w:val="24"/>
    </w:rPr>
  </w:style>
  <w:style w:type="character" w:customStyle="1" w:styleId="76">
    <w:name w:val="批注文字 Char"/>
    <w:link w:val="10"/>
    <w:qFormat/>
    <w:locked/>
    <w:uiPriority w:val="99"/>
    <w:rPr>
      <w:rFonts w:cs="Times New Roman"/>
      <w:kern w:val="2"/>
      <w:sz w:val="24"/>
      <w:szCs w:val="24"/>
    </w:rPr>
  </w:style>
  <w:style w:type="character" w:customStyle="1" w:styleId="77">
    <w:name w:val="正文文本缩进 Char"/>
    <w:link w:val="13"/>
    <w:qFormat/>
    <w:locked/>
    <w:uiPriority w:val="99"/>
    <w:rPr>
      <w:rFonts w:cs="Times New Roman"/>
      <w:kern w:val="2"/>
      <w:sz w:val="24"/>
      <w:szCs w:val="24"/>
    </w:rPr>
  </w:style>
  <w:style w:type="character" w:customStyle="1" w:styleId="78">
    <w:name w:val="Comment Subject Char1"/>
    <w:semiHidden/>
    <w:qFormat/>
    <w:locked/>
    <w:uiPriority w:val="99"/>
    <w:rPr>
      <w:rFonts w:cs="Times New Roman"/>
      <w:b/>
      <w:bCs/>
      <w:kern w:val="2"/>
      <w:sz w:val="24"/>
      <w:szCs w:val="24"/>
    </w:rPr>
  </w:style>
  <w:style w:type="character" w:customStyle="1" w:styleId="79">
    <w:name w:val="批注主题 Char"/>
    <w:link w:val="33"/>
    <w:qFormat/>
    <w:locked/>
    <w:uiPriority w:val="99"/>
    <w:rPr>
      <w:rFonts w:cs="Times New Roman"/>
      <w:b/>
      <w:bCs/>
      <w:kern w:val="2"/>
      <w:sz w:val="24"/>
      <w:szCs w:val="24"/>
    </w:rPr>
  </w:style>
  <w:style w:type="paragraph" w:customStyle="1" w:styleId="8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1">
    <w:name w:val="Document Map Char1"/>
    <w:semiHidden/>
    <w:qFormat/>
    <w:locked/>
    <w:uiPriority w:val="99"/>
    <w:rPr>
      <w:rFonts w:cs="Times New Roman"/>
      <w:sz w:val="2"/>
    </w:rPr>
  </w:style>
  <w:style w:type="character" w:customStyle="1" w:styleId="82">
    <w:name w:val="文档结构图 Char"/>
    <w:link w:val="9"/>
    <w:qFormat/>
    <w:locked/>
    <w:uiPriority w:val="99"/>
    <w:rPr>
      <w:rFonts w:ascii="宋体" w:cs="Times New Roman"/>
      <w:kern w:val="2"/>
      <w:sz w:val="18"/>
      <w:szCs w:val="18"/>
    </w:rPr>
  </w:style>
  <w:style w:type="character" w:customStyle="1" w:styleId="83">
    <w:name w:val="正文文本 3 Char"/>
    <w:link w:val="11"/>
    <w:qFormat/>
    <w:locked/>
    <w:uiPriority w:val="99"/>
    <w:rPr>
      <w:rFonts w:cs="Times New Roman"/>
      <w:kern w:val="2"/>
      <w:sz w:val="16"/>
      <w:szCs w:val="16"/>
    </w:rPr>
  </w:style>
  <w:style w:type="character" w:customStyle="1" w:styleId="84">
    <w:name w:val="纯文本 Char"/>
    <w:link w:val="16"/>
    <w:qFormat/>
    <w:locked/>
    <w:uiPriority w:val="99"/>
    <w:rPr>
      <w:rFonts w:ascii="宋体" w:hAnsi="Courier New" w:cs="Courier New"/>
      <w:kern w:val="2"/>
      <w:sz w:val="21"/>
      <w:szCs w:val="21"/>
    </w:rPr>
  </w:style>
  <w:style w:type="character" w:customStyle="1" w:styleId="85">
    <w:name w:val="Date Char1"/>
    <w:semiHidden/>
    <w:qFormat/>
    <w:locked/>
    <w:uiPriority w:val="99"/>
    <w:rPr>
      <w:rFonts w:cs="Times New Roman"/>
      <w:sz w:val="24"/>
      <w:szCs w:val="24"/>
    </w:rPr>
  </w:style>
  <w:style w:type="character" w:customStyle="1" w:styleId="86">
    <w:name w:val="日期 Char"/>
    <w:link w:val="18"/>
    <w:qFormat/>
    <w:locked/>
    <w:uiPriority w:val="99"/>
    <w:rPr>
      <w:rFonts w:cs="Times New Roman"/>
      <w:kern w:val="2"/>
      <w:sz w:val="24"/>
      <w:szCs w:val="24"/>
    </w:rPr>
  </w:style>
  <w:style w:type="paragraph" w:customStyle="1" w:styleId="87">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88">
    <w:name w:val="Subtitle Char1"/>
    <w:qFormat/>
    <w:locked/>
    <w:uiPriority w:val="99"/>
    <w:rPr>
      <w:rFonts w:ascii="Cambria" w:hAnsi="Cambria" w:cs="Times New Roman"/>
      <w:b/>
      <w:bCs/>
      <w:kern w:val="28"/>
      <w:sz w:val="32"/>
      <w:szCs w:val="32"/>
    </w:rPr>
  </w:style>
  <w:style w:type="character" w:customStyle="1" w:styleId="89">
    <w:name w:val="副标题 Char"/>
    <w:link w:val="25"/>
    <w:qFormat/>
    <w:locked/>
    <w:uiPriority w:val="99"/>
    <w:rPr>
      <w:rFonts w:ascii="Cambria" w:hAnsi="Cambria" w:cs="Times New Roman"/>
      <w:b/>
      <w:bCs/>
      <w:kern w:val="28"/>
      <w:sz w:val="32"/>
      <w:szCs w:val="32"/>
    </w:rPr>
  </w:style>
  <w:style w:type="paragraph" w:customStyle="1" w:styleId="90">
    <w:name w:val="样式 标题 2 + Times New Roman 四号 非加粗 段前: 5 磅 段后: 0 磅 行距: 固定值 20..."/>
    <w:basedOn w:val="4"/>
    <w:qFormat/>
    <w:uiPriority w:val="99"/>
    <w:pPr>
      <w:spacing w:before="100" w:line="400" w:lineRule="exact"/>
    </w:pPr>
    <w:rPr>
      <w:rFonts w:ascii="Times New Roman" w:hAnsi="Times New Roman" w:cs="宋体"/>
      <w:b w:val="0"/>
      <w:bCs w:val="0"/>
      <w:szCs w:val="20"/>
    </w:rPr>
  </w:style>
  <w:style w:type="character" w:customStyle="1" w:styleId="91">
    <w:name w:val="正文文本缩进 3 Char"/>
    <w:link w:val="27"/>
    <w:qFormat/>
    <w:locked/>
    <w:uiPriority w:val="99"/>
    <w:rPr>
      <w:rFonts w:ascii="宋体" w:eastAsia="宋体" w:cs="Times New Roman"/>
      <w:kern w:val="2"/>
      <w:sz w:val="24"/>
      <w:szCs w:val="24"/>
    </w:rPr>
  </w:style>
  <w:style w:type="paragraph" w:customStyle="1" w:styleId="92">
    <w:name w:val="1 Char"/>
    <w:basedOn w:val="1"/>
    <w:qFormat/>
    <w:uiPriority w:val="99"/>
    <w:rPr>
      <w:rFonts w:ascii="Tahoma" w:hAnsi="Tahoma"/>
      <w:sz w:val="24"/>
      <w:szCs w:val="20"/>
    </w:rPr>
  </w:style>
  <w:style w:type="paragraph" w:customStyle="1" w:styleId="9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4">
    <w:name w:val="p0"/>
    <w:basedOn w:val="1"/>
    <w:qFormat/>
    <w:uiPriority w:val="99"/>
    <w:pPr>
      <w:widowControl/>
    </w:pPr>
    <w:rPr>
      <w:kern w:val="0"/>
      <w:szCs w:val="21"/>
    </w:rPr>
  </w:style>
  <w:style w:type="paragraph" w:customStyle="1" w:styleId="95">
    <w:name w:val="Char Char Char"/>
    <w:basedOn w:val="1"/>
    <w:qFormat/>
    <w:uiPriority w:val="99"/>
    <w:pPr>
      <w:adjustRightInd w:val="0"/>
      <w:spacing w:line="360" w:lineRule="atLeast"/>
    </w:pPr>
  </w:style>
  <w:style w:type="paragraph" w:customStyle="1" w:styleId="96">
    <w:name w:val="列出段落2"/>
    <w:basedOn w:val="1"/>
    <w:qFormat/>
    <w:uiPriority w:val="99"/>
    <w:pPr>
      <w:ind w:firstLine="420" w:firstLineChars="200"/>
    </w:pPr>
  </w:style>
  <w:style w:type="paragraph" w:customStyle="1" w:styleId="97">
    <w:name w:val="TOC 标题1"/>
    <w:basedOn w:val="3"/>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98">
    <w:name w:val="Char"/>
    <w:basedOn w:val="1"/>
    <w:qFormat/>
    <w:uiPriority w:val="99"/>
  </w:style>
  <w:style w:type="paragraph" w:customStyle="1" w:styleId="99">
    <w:name w:val="author"/>
    <w:basedOn w:val="1"/>
    <w:qFormat/>
    <w:uiPriority w:val="99"/>
    <w:pPr>
      <w:widowControl/>
      <w:spacing w:before="100" w:beforeAutospacing="1" w:after="100" w:afterAutospacing="1"/>
      <w:jc w:val="left"/>
    </w:pPr>
    <w:rPr>
      <w:rFonts w:ascii="宋体" w:hAnsi="宋体" w:cs="宋体"/>
      <w:kern w:val="0"/>
      <w:sz w:val="24"/>
    </w:rPr>
  </w:style>
  <w:style w:type="character" w:customStyle="1" w:styleId="100">
    <w:name w:val="普通(网站) Char"/>
    <w:link w:val="31"/>
    <w:qFormat/>
    <w:locked/>
    <w:uiPriority w:val="99"/>
    <w:rPr>
      <w:rFonts w:ascii="宋体" w:eastAsia="宋体"/>
      <w:sz w:val="24"/>
    </w:rPr>
  </w:style>
  <w:style w:type="character" w:customStyle="1" w:styleId="101">
    <w:name w:val="正文缩进 Char"/>
    <w:link w:val="8"/>
    <w:qFormat/>
    <w:locked/>
    <w:uiPriority w:val="99"/>
    <w:rPr>
      <w:rFonts w:cs="Times New Roman"/>
      <w:kern w:val="2"/>
      <w:sz w:val="28"/>
    </w:rPr>
  </w:style>
  <w:style w:type="character" w:customStyle="1" w:styleId="102">
    <w:name w:val="HTML 预设格式 Char"/>
    <w:link w:val="30"/>
    <w:qFormat/>
    <w:locked/>
    <w:uiPriority w:val="99"/>
    <w:rPr>
      <w:rFonts w:ascii="宋体" w:eastAsia="宋体" w:cs="宋体"/>
      <w:sz w:val="24"/>
      <w:szCs w:val="24"/>
    </w:rPr>
  </w:style>
  <w:style w:type="character" w:customStyle="1" w:styleId="103">
    <w:name w:val="书籍标题1"/>
    <w:basedOn w:val="37"/>
    <w:qFormat/>
    <w:uiPriority w:val="33"/>
    <w:rPr>
      <w:b/>
      <w:bCs/>
      <w:smallCaps/>
      <w:spacing w:val="5"/>
    </w:rPr>
  </w:style>
  <w:style w:type="character" w:customStyle="1" w:styleId="104">
    <w:name w:val="font41"/>
    <w:basedOn w:val="37"/>
    <w:qFormat/>
    <w:uiPriority w:val="0"/>
    <w:rPr>
      <w:rFonts w:hint="eastAsia" w:ascii="宋体" w:hAnsi="宋体" w:eastAsia="宋体" w:cs="宋体"/>
      <w:color w:val="000000"/>
      <w:sz w:val="18"/>
      <w:szCs w:val="18"/>
      <w:u w:val="none"/>
    </w:rPr>
  </w:style>
  <w:style w:type="character" w:customStyle="1" w:styleId="105">
    <w:name w:val="font31"/>
    <w:basedOn w:val="37"/>
    <w:qFormat/>
    <w:uiPriority w:val="0"/>
    <w:rPr>
      <w:rFonts w:hint="default" w:ascii="Calibri" w:hAnsi="Calibri" w:cs="Calibri"/>
      <w:color w:val="000000"/>
      <w:sz w:val="18"/>
      <w:szCs w:val="18"/>
      <w:u w:val="none"/>
    </w:rPr>
  </w:style>
  <w:style w:type="character" w:customStyle="1" w:styleId="106">
    <w:name w:val="font51"/>
    <w:basedOn w:val="37"/>
    <w:qFormat/>
    <w:uiPriority w:val="0"/>
    <w:rPr>
      <w:rFonts w:hint="default" w:ascii="Calibri" w:hAnsi="Calibri" w:cs="Calibri"/>
      <w:color w:val="000000"/>
      <w:sz w:val="18"/>
      <w:szCs w:val="18"/>
      <w:u w:val="none"/>
      <w:vertAlign w:val="superscript"/>
    </w:rPr>
  </w:style>
  <w:style w:type="paragraph" w:customStyle="1" w:styleId="107">
    <w:name w:val="BB"/>
    <w:basedOn w:val="1"/>
    <w:qFormat/>
    <w:uiPriority w:val="0"/>
    <w:pPr>
      <w:spacing w:beforeLines="50" w:afterLines="50"/>
    </w:pPr>
    <w:rPr>
      <w:b/>
      <w:bCs/>
      <w:sz w:val="24"/>
      <w:szCs w:val="20"/>
    </w:rPr>
  </w:style>
  <w:style w:type="paragraph" w:customStyle="1" w:styleId="108">
    <w:name w:val="标题 21"/>
    <w:basedOn w:val="1"/>
    <w:qFormat/>
    <w:uiPriority w:val="0"/>
    <w:pPr>
      <w:spacing w:before="100" w:beforeAutospacing="1" w:after="100" w:afterAutospacing="1"/>
      <w:ind w:left="100" w:right="102"/>
      <w:jc w:val="left"/>
      <w:outlineLvl w:val="2"/>
    </w:pPr>
    <w:rPr>
      <w:rFonts w:ascii="Microsoft JhengHei" w:hAnsi="Microsoft JhengHei" w:eastAsia="Microsoft JhengHei" w:cs="宋体"/>
      <w:b/>
      <w:bCs/>
      <w:kern w:val="0"/>
      <w:sz w:val="32"/>
      <w:szCs w:val="32"/>
    </w:rPr>
  </w:style>
  <w:style w:type="character" w:customStyle="1" w:styleId="109">
    <w:name w:val="批注框文本 Char1"/>
    <w:qFormat/>
    <w:locked/>
    <w:uiPriority w:val="99"/>
    <w:rPr>
      <w:rFonts w:cs="Times New Roman"/>
      <w:kern w:val="2"/>
      <w:sz w:val="18"/>
    </w:rPr>
  </w:style>
  <w:style w:type="character" w:customStyle="1" w:styleId="110">
    <w:name w:val="页脚 Char1"/>
    <w:qFormat/>
    <w:locked/>
    <w:uiPriority w:val="99"/>
    <w:rPr>
      <w:rFonts w:cs="Times New Roman"/>
      <w:kern w:val="2"/>
      <w:sz w:val="24"/>
    </w:rPr>
  </w:style>
  <w:style w:type="character" w:customStyle="1" w:styleId="111">
    <w:name w:val="页眉 Char1"/>
    <w:qFormat/>
    <w:locked/>
    <w:uiPriority w:val="99"/>
    <w:rPr>
      <w:rFonts w:cs="Times New Roman"/>
      <w:kern w:val="2"/>
      <w:sz w:val="24"/>
    </w:rPr>
  </w:style>
  <w:style w:type="character" w:customStyle="1" w:styleId="112">
    <w:name w:val="日期 Char1"/>
    <w:qFormat/>
    <w:locked/>
    <w:uiPriority w:val="99"/>
    <w:rPr>
      <w:rFonts w:cs="Times New Roman"/>
      <w:kern w:val="2"/>
      <w:sz w:val="24"/>
      <w:szCs w:val="24"/>
    </w:rPr>
  </w:style>
  <w:style w:type="table" w:customStyle="1" w:styleId="113">
    <w:name w:val="网格型1"/>
    <w:basedOn w:val="3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font8"/>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16">
    <w:name w:val="font9"/>
    <w:basedOn w:val="1"/>
    <w:qFormat/>
    <w:uiPriority w:val="0"/>
    <w:pPr>
      <w:widowControl/>
      <w:spacing w:before="100" w:beforeAutospacing="1" w:after="100" w:afterAutospacing="1"/>
      <w:jc w:val="left"/>
    </w:pPr>
    <w:rPr>
      <w:color w:val="000000"/>
      <w:kern w:val="0"/>
      <w:sz w:val="22"/>
      <w:szCs w:val="22"/>
    </w:rPr>
  </w:style>
  <w:style w:type="paragraph" w:customStyle="1" w:styleId="11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1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2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Cs w:val="21"/>
    </w:rPr>
  </w:style>
  <w:style w:type="paragraph" w:customStyle="1" w:styleId="12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2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2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kern w:val="0"/>
      <w:sz w:val="20"/>
      <w:szCs w:val="20"/>
    </w:rPr>
  </w:style>
  <w:style w:type="paragraph" w:customStyle="1" w:styleId="12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2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2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2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31">
    <w:name w:val="xl79"/>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3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13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3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13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13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13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14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14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142">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14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4"/>
    </w:rPr>
  </w:style>
  <w:style w:type="paragraph" w:customStyle="1" w:styleId="144">
    <w:name w:val="xl9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Cs w:val="21"/>
    </w:rPr>
  </w:style>
  <w:style w:type="paragraph" w:customStyle="1" w:styleId="14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4"/>
    </w:rPr>
  </w:style>
  <w:style w:type="paragraph" w:customStyle="1" w:styleId="146">
    <w:name w:val="xl94"/>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textAlignment w:val="center"/>
    </w:pPr>
    <w:rPr>
      <w:rFonts w:ascii="宋体" w:hAnsi="宋体" w:cs="宋体"/>
      <w:kern w:val="0"/>
      <w:szCs w:val="21"/>
    </w:rPr>
  </w:style>
  <w:style w:type="paragraph" w:customStyle="1" w:styleId="147">
    <w:name w:val="xl95"/>
    <w:basedOn w:val="1"/>
    <w:qFormat/>
    <w:uiPriority w:val="0"/>
    <w:pPr>
      <w:widowControl/>
      <w:pBdr>
        <w:top w:val="single" w:color="auto" w:sz="4" w:space="0"/>
        <w:bottom w:val="single" w:color="auto" w:sz="4" w:space="0"/>
      </w:pBdr>
      <w:shd w:val="clear" w:color="000000" w:fill="FFFF00"/>
      <w:spacing w:before="100" w:beforeAutospacing="1" w:after="100" w:afterAutospacing="1"/>
      <w:jc w:val="center"/>
      <w:textAlignment w:val="center"/>
    </w:pPr>
    <w:rPr>
      <w:rFonts w:ascii="宋体" w:hAnsi="宋体" w:cs="宋体"/>
      <w:kern w:val="0"/>
      <w:szCs w:val="21"/>
    </w:rPr>
  </w:style>
  <w:style w:type="paragraph" w:customStyle="1" w:styleId="148">
    <w:name w:val="xl96"/>
    <w:basedOn w:val="1"/>
    <w:qFormat/>
    <w:uiPriority w:val="0"/>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Cs w:val="21"/>
    </w:rPr>
  </w:style>
  <w:style w:type="paragraph" w:customStyle="1" w:styleId="149">
    <w:name w:val="xl97"/>
    <w:basedOn w:val="1"/>
    <w:qFormat/>
    <w:uiPriority w:val="0"/>
    <w:pPr>
      <w:widowControl/>
      <w:pBdr>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Cs w:val="21"/>
    </w:rPr>
  </w:style>
  <w:style w:type="character" w:customStyle="1" w:styleId="150">
    <w:name w:val="font21"/>
    <w:basedOn w:val="37"/>
    <w:qFormat/>
    <w:uiPriority w:val="0"/>
    <w:rPr>
      <w:rFonts w:hint="eastAsia" w:ascii="宋体" w:hAnsi="宋体" w:eastAsia="宋体" w:cs="宋体"/>
      <w:color w:val="000000"/>
      <w:sz w:val="21"/>
      <w:szCs w:val="21"/>
      <w:u w:val="none"/>
    </w:rPr>
  </w:style>
  <w:style w:type="character" w:customStyle="1" w:styleId="151">
    <w:name w:val="font01"/>
    <w:basedOn w:val="37"/>
    <w:qFormat/>
    <w:uiPriority w:val="0"/>
    <w:rPr>
      <w:rFonts w:hint="default" w:ascii="Times New Roman" w:hAnsi="Times New Roman" w:cs="Times New Roman"/>
      <w:color w:val="000000"/>
      <w:sz w:val="22"/>
      <w:szCs w:val="22"/>
      <w:u w:val="none"/>
    </w:rPr>
  </w:style>
  <w:style w:type="character" w:customStyle="1" w:styleId="152">
    <w:name w:val="font11"/>
    <w:basedOn w:val="37"/>
    <w:qFormat/>
    <w:uiPriority w:val="0"/>
    <w:rPr>
      <w:rFonts w:hint="eastAsia" w:ascii="宋体" w:hAnsi="宋体" w:eastAsia="宋体" w:cs="宋体"/>
      <w:color w:val="000000"/>
      <w:sz w:val="21"/>
      <w:szCs w:val="21"/>
      <w:u w:val="none"/>
    </w:rPr>
  </w:style>
  <w:style w:type="character" w:customStyle="1" w:styleId="153">
    <w:name w:val="font61"/>
    <w:basedOn w:val="37"/>
    <w:qFormat/>
    <w:uiPriority w:val="0"/>
    <w:rPr>
      <w:rFonts w:hint="default" w:ascii="Times New Roman" w:hAnsi="Times New Roman" w:cs="Times New Roman"/>
      <w:color w:val="000000"/>
      <w:sz w:val="22"/>
      <w:szCs w:val="22"/>
      <w:u w:val="none"/>
    </w:rPr>
  </w:style>
  <w:style w:type="paragraph" w:customStyle="1" w:styleId="154">
    <w:name w:val="标题 31"/>
    <w:basedOn w:val="1"/>
    <w:qFormat/>
    <w:uiPriority w:val="1"/>
    <w:pPr>
      <w:ind w:left="237" w:right="21"/>
      <w:jc w:val="left"/>
      <w:outlineLvl w:val="3"/>
    </w:pPr>
    <w:rPr>
      <w:rFonts w:ascii="宋体" w:hAnsi="宋体" w:eastAsia="宋体" w:cs="宋体"/>
      <w:kern w:val="0"/>
      <w:sz w:val="28"/>
      <w:szCs w:val="2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71B511-40FF-4CE5-9172-7FAD46F06E77}">
  <ds:schemaRefs/>
</ds:datastoreItem>
</file>

<file path=docProps/app.xml><?xml version="1.0" encoding="utf-8"?>
<Properties xmlns="http://schemas.openxmlformats.org/officeDocument/2006/extended-properties" xmlns:vt="http://schemas.openxmlformats.org/officeDocument/2006/docPropsVTypes">
  <Template>Normal.dotm</Template>
  <Company>2w</Company>
  <Pages>1</Pages>
  <Words>1112</Words>
  <Characters>6343</Characters>
  <Lines>52</Lines>
  <Paragraphs>14</Paragraphs>
  <TotalTime>34</TotalTime>
  <ScaleCrop>false</ScaleCrop>
  <LinksUpToDate>false</LinksUpToDate>
  <CharactersWithSpaces>7441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2019-08-02T09:22:00Z</dcterms:created>
  <dc:creator>toshiba</dc:creator>
  <cp:lastModifiedBy>Administrator</cp:lastModifiedBy>
  <cp:lastPrinted>2018-01-05T06:02:00Z</cp:lastPrinted>
  <dcterms:modified xsi:type="dcterms:W3CDTF">2026-03-05T01:34:25Z</dcterms:modified>
  <dc:title>目    录</dc:title>
  <cp:revision>282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0260634E8F534C8A9B2DA6BBF02E6ABD</vt:lpwstr>
  </property>
</Properties>
</file>