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Cs/>
          <w:sz w:val="36"/>
          <w:szCs w:val="36"/>
          <w:lang w:eastAsia="zh-CN"/>
        </w:rPr>
      </w:pPr>
      <w:r>
        <w:rPr>
          <w:rFonts w:hint="eastAsia" w:ascii="黑体" w:hAnsi="黑体" w:eastAsia="黑体" w:cs="黑体"/>
          <w:bCs/>
          <w:sz w:val="36"/>
          <w:szCs w:val="36"/>
          <w:lang w:eastAsia="zh-CN"/>
        </w:rPr>
        <w:t>中铝中州铝业有限公司冯营石灰石矿矿石装运项目</w:t>
      </w:r>
    </w:p>
    <w:p>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CG-ZZ-202603-SCGK-SCJSK-004</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中铝中州铝业有限公司冯营石灰石矿矿石装运项目已具备采购条件，资金自筹且已落实。采购人为：中铝中州铝业有限公司生产管控中心。采购人对该项目进行谈判采购，报价方式为现场报价。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2.1项目名称：中铝中州铝业有限公司冯营石灰石矿矿石装运项目</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2.2项目类型：服务</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2.3项目概况：中铝中州铝业有限公司冯营石灰石矿区位于焦作市马村区安阳城街道办事处和修武县七贤镇。矿区总面积1.45平方公里，矿区划分为a、b、c、d四个采区，a采区是现在唯一的生产采区，开采矿种为熔剂用石灰岩，开采方式为露天开采。本合同期内冯营石灰石矿生产计划为130万吨，采用非爆破方式开采，所开采出原矿经破碎系统破碎后，储存于4#、5#成品料棚。</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2.4项目地点：焦作市安阳城乡马冯营村北</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1）乙方按照甲方要求组织新能源矿山自卸车，将石灰石原矿自a采区各台阶运输至破碎系统下料口，运距约1KM。原矿运输需使用新能源矿山自卸车，新能源矿山自卸车不少于5辆，其中1新能源矿山自卸车需配备智能化矿山无人运输功能，乙方负责将配备智能化矿山无人运输功能的新能源矿山自卸车系统及功能接进矿山现有的智能化远程操作系统，实现利旧适配以及成本优化要求。（2）乙方按照甲方要求组织新能源卡车，将石灰石成品矿自冯营石灰石矿成品料棚运输至中州厂区指定区域，运距约12KM。成品矿进厂运输需要使用新能源车辆，车辆不少于10辆。（3）乙方负责石灰石成品矿在指定区域的装车及成品料棚内倒料，成品料从4号成品棚短倒至5号成品棚的装车和运输，承担成品棚内不合格料返流程装车和运输。成品矿装车必须使用新能源装载机，不少于2辆。（4）运输作业需遵守国家相关道路管理条例，并负责协调倒运路线周边地方及群众关系，保证正常运输。（5）乙方负责原矿运输道路、石矿破碎区域至焦辉路口段路面保洁、排水沟清理、积料洒料清理，承担原矿称台、成品称台、洗车台及沉淀池清理。（6）乙方负责石矿成品料棚内环境卫生，同时乙方装载机应配合甲方做好现场环境治理。</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2.5.2工程量：</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年产量（工程量）：预计运输量为【原矿130万吨、成品矿65万吨】，预计装车量为【130万吨】，具体运输、装车数量以双方现场核定的实际工作量为准。</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2.8工期：2026年4月1日至2027年3月31日。</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1、报价人应为在中华人民共和国境内注册的法人或其他组织，提供有效的营业执照扫描件；</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在中华人民共和国依照《中华人民共和国民法典》注册的、具有履行合同的能力，具有良好资金、设备和其他物质设施状况，良好的管理能力，经验、信誉和相应的从业人员，需提供企业法人营业执照、税务登记证、组织机构代码证或三证合一新证、银行开户许可证、资质证书，并加盖单位公章；</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3、投标人应具有良好的财务状况，没有处于被责令停业、财产被接管、破产或其它关、停、并、转等状态，报价资格没有被取消，财产没有被接管、冻结、破产状态；在最近三年内没有骗取中选和严重违约及重大质量问题，有足够的流动资金承担本项目的实施，提供近2年（2023年、2024年）经会计师事务所/审计机构审计的财务报表（包括资产负债表、现金流量表、利润表）或提供承诺书。</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（投标人的成立时间少于规定年份的，应提供成立以来的财务报表）；</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4、投标人2023年至今具有不少于1个物流运输类项目承揽业绩，提供合同首页、双方签署页以及合同关键页，以签署日期为准；</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5、1.投标人在报名期间和投标有效期内未被列入中国铝业集团有限公司承包商黑名单、灰名单。2.投标人在项目评审期间不存在被列为失信被执行人的情形，具体认定以全国企业信用信息公示系统（https://www.gsxt.gov.cn/）和信用中国(https://www.creditchina.gov.cn/）网站检索结果为准。3.投标人近三年（2022年至今）未发生过较大及以上生产安全事故、一般及以上突发环境事件、员工职业健康事故或者质量事故，未在开标前12个月内发生过一般生产安全事故，提供承诺书；</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6、在承接类似于本项目的相关业务中，没有出现报价人负主要责任的安全、技术、质量、商务等纠纷，没有产生严重后果，造成重大经济损失，不得在招报价数据库中存在不良记录；</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7、承包商用工应具有初中以上学历、用工年龄应当年满18周岁且不超过63周岁（女工不超过55岁），不使用有双重劳动关系的人员。</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8、本项目不接受联合体采购；</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9、报价人的安全能力能满足采购文件的要求，包括资质能力、管理能力、人员能力、绩效能力等；</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10、法律、行政法规规定的其他条件。</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snapToGrid w:val="0"/>
        <w:spacing w:line="400" w:lineRule="exact"/>
        <w:ind w:firstLine="480" w:firstLineChars="200"/>
        <w:textAlignment w:val="baseline"/>
        <w:rPr>
          <w:rFonts w:hint="eastAsia" w:ascii="仿宋" w:hAnsi="仿宋" w:eastAsia="仿宋" w:cs="仿宋"/>
          <w:bCs/>
          <w:sz w:val="24"/>
          <w:lang w:val="en-US" w:eastAsia="zh-CN"/>
        </w:rPr>
      </w:pPr>
      <w:bookmarkStart w:id="0" w:name="_Toc27489"/>
      <w:bookmarkStart w:id="1" w:name="_Toc3201944"/>
      <w:bookmarkStart w:id="2" w:name="_Toc517804008"/>
      <w:bookmarkStart w:id="3" w:name="_Toc518044994"/>
      <w:r>
        <w:rPr>
          <w:rFonts w:hint="eastAsia" w:ascii="仿宋" w:hAnsi="仿宋" w:eastAsia="仿宋" w:cs="仿宋"/>
          <w:bCs/>
          <w:sz w:val="24"/>
          <w:lang w:val="en-US" w:eastAsia="zh-CN"/>
        </w:rPr>
        <w:t>4.1</w:t>
      </w:r>
      <w:r>
        <w:rPr>
          <w:rFonts w:hint="eastAsia" w:ascii="仿宋" w:hAnsi="仿宋" w:eastAsia="仿宋" w:cs="仿宋"/>
          <w:bCs/>
          <w:sz w:val="24"/>
          <w:highlight w:val="yellow"/>
          <w:lang w:val="en-US" w:eastAsia="zh-CN"/>
        </w:rPr>
        <w:t>采购文件的价格为200元/份</w:t>
      </w:r>
      <w:r>
        <w:rPr>
          <w:rFonts w:hint="eastAsia" w:ascii="仿宋" w:hAnsi="仿宋" w:eastAsia="仿宋" w:cs="仿宋"/>
          <w:bCs/>
          <w:sz w:val="24"/>
          <w:lang w:val="en-US" w:eastAsia="zh-CN"/>
        </w:rPr>
        <w:t>，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snapToGrid w:val="0"/>
        <w:spacing w:line="400" w:lineRule="exact"/>
        <w:ind w:firstLine="480" w:firstLineChars="200"/>
        <w:textAlignment w:val="baseline"/>
        <w:rPr>
          <w:rFonts w:hint="eastAsia" w:ascii="仿宋" w:hAnsi="仿宋" w:eastAsia="仿宋" w:cs="仿宋"/>
          <w:bCs/>
          <w:sz w:val="24"/>
          <w:highlight w:val="yellow"/>
          <w:lang w:val="en-US" w:eastAsia="zh-CN"/>
        </w:rPr>
      </w:pPr>
      <w:r>
        <w:rPr>
          <w:rFonts w:hint="eastAsia" w:ascii="仿宋" w:hAnsi="仿宋" w:eastAsia="仿宋" w:cs="仿宋"/>
          <w:bCs/>
          <w:sz w:val="24"/>
          <w:highlight w:val="yellow"/>
          <w:lang w:val="en-US" w:eastAsia="zh-CN"/>
        </w:rPr>
        <w:t>报价保证金4万元。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tabs>
          <w:tab w:val="left" w:pos="540"/>
        </w:tabs>
        <w:snapToGrid w:val="0"/>
        <w:spacing w:line="400" w:lineRule="exact"/>
        <w:ind w:firstLine="480" w:firstLineChars="200"/>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开户名称：中铝中州</w:t>
      </w:r>
      <w:r>
        <w:rPr>
          <w:rFonts w:hint="eastAsia" w:ascii="仿宋_GB2312" w:hAnsi="仿宋_GB2312" w:eastAsia="仿宋_GB2312" w:cs="仿宋_GB2312"/>
          <w:color w:val="auto"/>
          <w:sz w:val="24"/>
          <w:highlight w:val="none"/>
          <w:lang w:eastAsia="zh-CN"/>
        </w:rPr>
        <w:t>铝</w:t>
      </w:r>
      <w:r>
        <w:rPr>
          <w:rFonts w:hint="eastAsia" w:ascii="仿宋_GB2312" w:hAnsi="仿宋_GB2312" w:eastAsia="仿宋_GB2312" w:cs="仿宋_GB2312"/>
          <w:color w:val="auto"/>
          <w:sz w:val="24"/>
          <w:highlight w:val="none"/>
        </w:rPr>
        <w:t>业有限公司</w:t>
      </w:r>
    </w:p>
    <w:p>
      <w:pPr>
        <w:tabs>
          <w:tab w:val="left" w:pos="540"/>
        </w:tabs>
        <w:snapToGrid w:val="0"/>
        <w:spacing w:line="400" w:lineRule="exact"/>
        <w:ind w:firstLine="480" w:firstLineChars="200"/>
        <w:textAlignment w:val="baseline"/>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开户行：中国工商银行焦作分行中铝支行</w:t>
      </w:r>
    </w:p>
    <w:p>
      <w:pPr>
        <w:tabs>
          <w:tab w:val="left" w:pos="540"/>
        </w:tabs>
        <w:snapToGrid w:val="0"/>
        <w:spacing w:line="400" w:lineRule="exact"/>
        <w:ind w:firstLine="480" w:firstLineChars="200"/>
        <w:textAlignment w:val="baseline"/>
        <w:rPr>
          <w:rFonts w:ascii="仿宋_GB2312" w:hAnsi="仿宋_GB2312" w:eastAsia="仿宋_GB2312" w:cs="仿宋_GB2312"/>
          <w:color w:val="FF0000"/>
          <w:sz w:val="24"/>
          <w:highlight w:val="none"/>
        </w:rPr>
      </w:pPr>
      <w:r>
        <w:rPr>
          <w:rFonts w:hint="eastAsia" w:ascii="仿宋_GB2312" w:hAnsi="仿宋_GB2312" w:eastAsia="仿宋_GB2312" w:cs="仿宋_GB2312"/>
          <w:color w:val="FF0000"/>
          <w:sz w:val="24"/>
          <w:highlight w:val="none"/>
        </w:rPr>
        <w:t>银行账号：1709028019200089451</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汇款备注中，须注明</w:t>
      </w:r>
      <w:r>
        <w:rPr>
          <w:rFonts w:hint="eastAsia" w:ascii="仿宋_GB2312" w:hAnsi="仿宋_GB2312" w:eastAsia="仿宋_GB2312" w:cs="仿宋_GB2312"/>
          <w:color w:val="FF0000"/>
          <w:sz w:val="24"/>
          <w:highlight w:val="none"/>
        </w:rPr>
        <w:t>“</w:t>
      </w:r>
      <w:r>
        <w:rPr>
          <w:rFonts w:hint="eastAsia" w:ascii="仿宋_GB2312" w:eastAsia="仿宋_GB2312" w:cs="Times New Roman"/>
          <w:bCs/>
          <w:color w:val="FF0000"/>
          <w:kern w:val="2"/>
          <w:sz w:val="24"/>
          <w:szCs w:val="24"/>
          <w:highlight w:val="none"/>
          <w:lang w:val="en-US" w:eastAsia="zh-CN" w:bidi="ar-SA"/>
        </w:rPr>
        <w:t>冯营石灰石矿矿石装运</w:t>
      </w:r>
      <w:r>
        <w:rPr>
          <w:rFonts w:hint="eastAsia" w:ascii="仿宋_GB2312" w:eastAsia="仿宋_GB2312"/>
          <w:bCs/>
          <w:color w:val="FF0000"/>
          <w:sz w:val="24"/>
          <w:highlight w:val="none"/>
          <w:lang w:eastAsia="zh-CN"/>
        </w:rPr>
        <w:t>项目</w:t>
      </w:r>
      <w:r>
        <w:rPr>
          <w:rFonts w:hint="eastAsia" w:ascii="仿宋_GB2312" w:eastAsia="仿宋_GB2312"/>
          <w:bCs/>
          <w:color w:val="FF0000"/>
          <w:sz w:val="24"/>
          <w:highlight w:val="none"/>
        </w:rPr>
        <w:t>采购文件费</w:t>
      </w:r>
      <w:r>
        <w:rPr>
          <w:rFonts w:hint="eastAsia" w:ascii="仿宋_GB2312" w:hAnsi="仿宋_GB2312" w:eastAsia="仿宋_GB2312" w:cs="仿宋_GB2312"/>
          <w:color w:val="FF0000"/>
          <w:sz w:val="24"/>
          <w:highlight w:val="none"/>
        </w:rPr>
        <w:t>”</w:t>
      </w:r>
      <w:r>
        <w:rPr>
          <w:rFonts w:hint="eastAsia" w:ascii="仿宋_GB2312" w:hAnsi="仿宋_GB2312" w:eastAsia="仿宋_GB2312" w:cs="仿宋_GB2312"/>
          <w:color w:val="FF0000"/>
          <w:sz w:val="24"/>
          <w:highlight w:val="none"/>
          <w:lang w:eastAsia="zh-CN"/>
        </w:rPr>
        <w:t>，</w:t>
      </w:r>
      <w:r>
        <w:rPr>
          <w:rFonts w:hint="eastAsia" w:ascii="仿宋_GB2312" w:hAnsi="仿宋_GB2312" w:eastAsia="仿宋_GB2312" w:cs="仿宋_GB2312"/>
          <w:color w:val="FF0000"/>
          <w:sz w:val="24"/>
          <w:highlight w:val="none"/>
        </w:rPr>
        <w:t>“</w:t>
      </w:r>
      <w:r>
        <w:rPr>
          <w:rFonts w:hint="eastAsia" w:ascii="仿宋_GB2312" w:eastAsia="仿宋_GB2312" w:cs="Times New Roman"/>
          <w:bCs/>
          <w:color w:val="FF0000"/>
          <w:kern w:val="2"/>
          <w:sz w:val="24"/>
          <w:szCs w:val="24"/>
          <w:highlight w:val="none"/>
          <w:lang w:val="en-US" w:eastAsia="zh-CN" w:bidi="ar-SA"/>
        </w:rPr>
        <w:t>冯营石灰石矿矿石装运</w:t>
      </w:r>
      <w:r>
        <w:rPr>
          <w:rFonts w:hint="eastAsia" w:ascii="仿宋_GB2312" w:eastAsia="仿宋_GB2312"/>
          <w:bCs/>
          <w:color w:val="FF0000"/>
          <w:sz w:val="24"/>
          <w:highlight w:val="none"/>
          <w:lang w:eastAsia="zh-CN"/>
        </w:rPr>
        <w:t>项目报价保证金</w:t>
      </w:r>
      <w:r>
        <w:rPr>
          <w:rFonts w:hint="eastAsia" w:ascii="仿宋_GB2312" w:hAnsi="仿宋_GB2312" w:eastAsia="仿宋_GB2312" w:cs="仿宋_GB2312"/>
          <w:color w:val="FF0000"/>
          <w:sz w:val="24"/>
          <w:highlight w:val="none"/>
        </w:rPr>
        <w:t>”</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购买采购文件时间：自公告之日起至2026年3月18日20</w:t>
      </w:r>
      <w:bookmarkStart w:id="14" w:name="_GoBack"/>
      <w:bookmarkEnd w:id="14"/>
      <w:r>
        <w:rPr>
          <w:rFonts w:hint="eastAsia" w:ascii="仿宋" w:hAnsi="仿宋" w:eastAsia="仿宋" w:cs="仿宋"/>
          <w:bCs/>
          <w:sz w:val="24"/>
          <w:lang w:val="en-US" w:eastAsia="zh-CN"/>
        </w:rPr>
        <w:t>:30（北京时间）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518044995"/>
      <w:bookmarkStart w:id="5" w:name="_Toc3201945"/>
      <w:bookmarkStart w:id="6" w:name="_Toc517804009"/>
      <w:bookmarkStart w:id="7" w:name="_Toc9267"/>
      <w:r>
        <w:rPr>
          <w:rFonts w:hint="eastAsia" w:ascii="仿宋" w:hAnsi="仿宋" w:eastAsia="仿宋" w:cs="仿宋"/>
          <w:b/>
          <w:bCs w:val="0"/>
          <w:sz w:val="28"/>
          <w:szCs w:val="28"/>
          <w:lang w:val="en-US" w:eastAsia="zh-CN"/>
        </w:rPr>
        <w:t>6报价文件的递交</w:t>
      </w:r>
      <w:bookmarkEnd w:id="4"/>
      <w:bookmarkEnd w:id="5"/>
      <w:bookmarkEnd w:id="6"/>
      <w:bookmarkEnd w:id="7"/>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报价文件递交截止时间/报价时间：2026年3月19日10:00（北京时间）。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报价及评审地点：生产管控中心生产技术（矿管）办公室（中州铝业办公楼西保卫部三楼）</w:t>
      </w:r>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3201947"/>
      <w:bookmarkStart w:id="10" w:name="_Toc22632"/>
      <w:bookmarkStart w:id="11" w:name="_Toc517804011"/>
      <w:bookmarkStart w:id="12" w:name="_Toc518044997"/>
      <w:r>
        <w:rPr>
          <w:rFonts w:hint="eastAsia" w:ascii="仿宋" w:hAnsi="仿宋" w:eastAsia="仿宋" w:cs="仿宋"/>
          <w:b/>
          <w:bCs w:val="0"/>
          <w:sz w:val="28"/>
          <w:szCs w:val="28"/>
          <w:lang w:val="en-US" w:eastAsia="zh-CN"/>
        </w:rPr>
        <w:t>8联系方式</w:t>
      </w:r>
      <w:bookmarkEnd w:id="9"/>
      <w:bookmarkEnd w:id="10"/>
      <w:bookmarkEnd w:id="11"/>
      <w:bookmarkEnd w:id="12"/>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tabs>
          <w:tab w:val="left" w:pos="540"/>
        </w:tabs>
        <w:snapToGrid w:val="0"/>
        <w:spacing w:line="40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开户名称：中铝中州</w:t>
      </w:r>
      <w:r>
        <w:rPr>
          <w:rFonts w:hint="eastAsia" w:ascii="仿宋" w:hAnsi="仿宋" w:eastAsia="仿宋" w:cs="仿宋"/>
          <w:color w:val="auto"/>
          <w:sz w:val="24"/>
          <w:highlight w:val="none"/>
          <w:lang w:eastAsia="zh-CN"/>
        </w:rPr>
        <w:t>铝</w:t>
      </w:r>
      <w:r>
        <w:rPr>
          <w:rFonts w:hint="eastAsia" w:ascii="仿宋" w:hAnsi="仿宋" w:eastAsia="仿宋" w:cs="仿宋"/>
          <w:color w:val="auto"/>
          <w:sz w:val="24"/>
          <w:highlight w:val="none"/>
        </w:rPr>
        <w:t>业有限公司</w:t>
      </w:r>
    </w:p>
    <w:p>
      <w:pPr>
        <w:tabs>
          <w:tab w:val="left" w:pos="540"/>
        </w:tabs>
        <w:snapToGrid w:val="0"/>
        <w:spacing w:line="400" w:lineRule="exact"/>
        <w:ind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开户行：中国工商银行焦作分行中铝支行</w:t>
      </w:r>
    </w:p>
    <w:p>
      <w:pPr>
        <w:tabs>
          <w:tab w:val="left" w:pos="540"/>
        </w:tabs>
        <w:snapToGrid w:val="0"/>
        <w:spacing w:line="400" w:lineRule="exact"/>
        <w:ind w:firstLine="480" w:firstLineChars="200"/>
        <w:textAlignment w:val="baseline"/>
        <w:rPr>
          <w:rFonts w:hint="eastAsia" w:ascii="仿宋" w:hAnsi="仿宋" w:eastAsia="仿宋" w:cs="仿宋"/>
          <w:color w:val="FF0000"/>
          <w:sz w:val="24"/>
          <w:highlight w:val="none"/>
        </w:rPr>
      </w:pPr>
      <w:r>
        <w:rPr>
          <w:rFonts w:hint="eastAsia" w:ascii="仿宋" w:hAnsi="仿宋" w:eastAsia="仿宋" w:cs="仿宋"/>
          <w:color w:val="FF0000"/>
          <w:sz w:val="24"/>
          <w:highlight w:val="none"/>
        </w:rPr>
        <w:t>银行账号：1709028019200089451</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7B371D"/>
    <w:rsid w:val="037D6B45"/>
    <w:rsid w:val="0393643C"/>
    <w:rsid w:val="03AA4003"/>
    <w:rsid w:val="044E0E32"/>
    <w:rsid w:val="04EE2422"/>
    <w:rsid w:val="05880374"/>
    <w:rsid w:val="05C532C6"/>
    <w:rsid w:val="06EC048E"/>
    <w:rsid w:val="08164F8D"/>
    <w:rsid w:val="08E95190"/>
    <w:rsid w:val="0AA27488"/>
    <w:rsid w:val="0B094A63"/>
    <w:rsid w:val="0B2F3A13"/>
    <w:rsid w:val="0C880C59"/>
    <w:rsid w:val="0C9475FE"/>
    <w:rsid w:val="0D7F205C"/>
    <w:rsid w:val="0D823AD3"/>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90F1FF3"/>
    <w:rsid w:val="49695393"/>
    <w:rsid w:val="497955D6"/>
    <w:rsid w:val="49E07403"/>
    <w:rsid w:val="4B4843E2"/>
    <w:rsid w:val="4C27758A"/>
    <w:rsid w:val="4CFD651E"/>
    <w:rsid w:val="4EDB288F"/>
    <w:rsid w:val="51735001"/>
    <w:rsid w:val="523C1897"/>
    <w:rsid w:val="52F83A10"/>
    <w:rsid w:val="550A42E0"/>
    <w:rsid w:val="56140091"/>
    <w:rsid w:val="571748E3"/>
    <w:rsid w:val="581D594B"/>
    <w:rsid w:val="59395101"/>
    <w:rsid w:val="5AFD146D"/>
    <w:rsid w:val="5B5434A8"/>
    <w:rsid w:val="5B5E287E"/>
    <w:rsid w:val="5BF154A0"/>
    <w:rsid w:val="5C0F4FE4"/>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D7056"/>
    <w:rsid w:val="728F1117"/>
    <w:rsid w:val="732C01D1"/>
    <w:rsid w:val="73DD17AE"/>
    <w:rsid w:val="73E01C41"/>
    <w:rsid w:val="740578E3"/>
    <w:rsid w:val="74624D35"/>
    <w:rsid w:val="747D0BE3"/>
    <w:rsid w:val="75181898"/>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2</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2026-03-16T08:50:57Z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