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w:t>
      </w:r>
      <w:r>
        <w:rPr>
          <w:rFonts w:hint="eastAsia" w:ascii="黑体" w:hAnsi="黑体" w:eastAsia="黑体" w:cs="黑体"/>
          <w:bCs/>
          <w:sz w:val="36"/>
          <w:szCs w:val="36"/>
          <w:lang w:val="en-US" w:eastAsia="zh-CN"/>
        </w:rPr>
        <w:t>铝业</w:t>
      </w:r>
      <w:r>
        <w:rPr>
          <w:rFonts w:hint="eastAsia" w:ascii="黑体" w:hAnsi="黑体" w:eastAsia="黑体" w:cs="黑体"/>
          <w:bCs/>
          <w:sz w:val="36"/>
          <w:szCs w:val="36"/>
          <w:lang w:eastAsia="zh-CN"/>
        </w:rPr>
        <w:t>有限公司大南爻赤泥库库区维护修缮修理业务采购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采购编号：CG-ZZ-202603-SCGK-SCJSK-001</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中铝中州铝业有限公司大南爻赤泥库库区维护修缮修理业务</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2.1项目名称：中铝中州铝业有限公司大南爻赤泥库库区维护修缮修理业务</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2.2项目类型：承揽</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2.3项目概况：根据《尾矿库安全规程》（GB 39496-2020）及《尾矿库安全监督管理规定》（国家安全生产监督管理总局令第38号）中对尾矿库安全管理的相关要求，为保障尾矿库安全稳定运行可控，需要委托具备相应资质的单位对中铝中州铝业有限公司大南爻赤泥库安全设施进行日常性的维护、修缮，确保尾矿库安全设施处于良好运行状态。</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2.4项目地点：焦作市尾矿区域大南爻赤泥库库区</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r>
        <w:rPr>
          <w:rFonts w:hint="default" w:ascii="仿宋" w:hAnsi="仿宋" w:eastAsia="仿宋" w:cs="仿宋"/>
          <w:bCs/>
          <w:sz w:val="24"/>
          <w:lang w:val="en-US" w:eastAsia="zh-CN"/>
        </w:rPr>
        <w:t>库区防渗膜铺设，坝体排水沟清淤、修建，坝面覆土绿化，排水井拱板安装，坝面冲沟治理、绿化覆土层缺失补充，上坝道路维护，拦渣库、回水池清淤等。</w:t>
      </w:r>
      <w:r>
        <w:rPr>
          <w:rFonts w:hint="eastAsia" w:ascii="仿宋" w:hAnsi="仿宋" w:eastAsia="仿宋" w:cs="仿宋"/>
          <w:bCs/>
          <w:sz w:val="24"/>
          <w:lang w:val="en-US" w:eastAsia="zh-CN"/>
        </w:rPr>
        <w:t>库区防渗膜铺设约25000m2，坝体、坝肩排水沟清淤、修建约1154m，坝面覆土绿化约8400m2，排水井拱板安装约20块，坝面冲沟治理、绿化覆土层缺失补充约400m2，上坝道路维护，拦渣库、回水池清淤约2300m3等，甲供材为：防渗膜、土工布、钢材。结算以实际发生量据实结算</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2.5.2质量要求：1.质量标准满足GB 50300-2013《建设工程施工质量验收统一标准》；2.技术参数满足GB 50864-2013《尾矿设施施工及验收规范》要求。</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keepNext w:val="0"/>
        <w:keepLines w:val="0"/>
        <w:pageBreakBefore w:val="0"/>
        <w:widowControl w:val="0"/>
        <w:kinsoku/>
        <w:wordWrap/>
        <w:overflowPunct/>
        <w:topLinePunct w:val="0"/>
        <w:autoSpaceDE/>
        <w:autoSpaceDN/>
        <w:bidi w:val="0"/>
        <w:adjustRightInd/>
        <w:snapToGrid w:val="0"/>
        <w:spacing w:line="240" w:lineRule="atLeast"/>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2.8工期：2026年4月1日至2027年3月31日。</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1中华人民共和国注册登记的，持有合法有效的营业执照或事业单位法人证书</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2具备履行合同的能力，包括资质状况，专业、技术资格和能力，资金、设备和其他设施状况，管理能力，经验、信誉和相应的从业人员；</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3报价人没有处于被责令停业，报价资格没有被取消，财产没有被接管、冻结、破产状态；在最近三年内没有骗取中选和严重违约及重大质量问题；</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4在承接类似于本项目的相关业务中，没有出现报价人负主要责任的安全、技术、质量、商务等纠纷，没有产生严重后果，造成重大经济损失，不得在招报价数据库中存在不良记录；</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5信誉要求：报价人在全国法院失信被执行人名单信息公布与查询网(http://zxgk.court.gov.cn)和国家发展改革委信用中国(www.creditchina. gov.cn)网站上未被列入失信被执行人、重大税收违法案件当事人名单；未列入中铝集团有限公司承包商黑名单；</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6满足《建设项目安全设施“三同时”监督管理办法》要求要求，具备法律、行政法规规定的其他资格条件；</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7本项目不允许联合体报价，不允许转包、分包；</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8报价人的安全能力能满足采购文件的要求，包括资质能力、管理能力、人员能力、绩效能力等；</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9有近三年同行业内良好的施工信誉；</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10严格遵守中铝中州铝业有限公司的规章制度，报价单位中选后签订《安全管理协议》；</w:t>
      </w:r>
    </w:p>
    <w:p>
      <w:pPr>
        <w:snapToGrid w:val="0"/>
        <w:spacing w:line="400" w:lineRule="exact"/>
        <w:ind w:firstLine="480" w:firstLineChars="200"/>
        <w:textAlignment w:val="baseline"/>
        <w:rPr>
          <w:rFonts w:hint="default" w:ascii="仿宋" w:hAnsi="仿宋" w:eastAsia="仿宋" w:cs="仿宋"/>
          <w:bCs/>
          <w:sz w:val="24"/>
          <w:lang w:val="en-US" w:eastAsia="zh-CN"/>
        </w:rPr>
      </w:pPr>
      <w:bookmarkStart w:id="14" w:name="_GoBack"/>
      <w:bookmarkEnd w:id="14"/>
      <w:r>
        <w:rPr>
          <w:rFonts w:hint="eastAsia" w:ascii="仿宋" w:hAnsi="仿宋" w:eastAsia="仿宋" w:cs="仿宋"/>
          <w:bCs/>
          <w:sz w:val="24"/>
          <w:lang w:val="en-US" w:eastAsia="zh-CN"/>
        </w:rPr>
        <w:t>11业绩要求：必须有近三年两个及以上类似业绩。</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0" w:name="_Toc518044994"/>
      <w:bookmarkStart w:id="1" w:name="_Toc27489"/>
      <w:bookmarkStart w:id="2" w:name="_Toc517804008"/>
      <w:bookmarkStart w:id="3" w:name="_Toc3201944"/>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报价单位需在现场报价前向采购人缴纳报价保证金1万元。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开户行：中国工商银行焦作分行中铝支行</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银行账号：1709028019200089451</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汇款备注中，须注明“中铝中州铝业有限公司大南爻赤泥库库区维护修缮修理业务采购文件费”、“中铝中州铝业有限公司大南爻赤泥库库区维护修缮修理业务报价保证金”。</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购买采购文件时间：自公告之日起至2026年3月24日16:30（北京时间）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9267"/>
      <w:bookmarkStart w:id="5" w:name="_Toc3201945"/>
      <w:bookmarkStart w:id="6" w:name="_Toc517804009"/>
      <w:bookmarkStart w:id="7" w:name="_Toc518044995"/>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报价文件递交截止时间/报价时间：2026年3月25日9:30（北京时间）。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报价及评审地点：中铝中州铝业生产管控中心生产质量办公室会议室（中州铝业办公楼西保卫部三楼）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3201947"/>
      <w:bookmarkStart w:id="10" w:name="_Toc518044997"/>
      <w:bookmarkStart w:id="11" w:name="_Toc517804011"/>
      <w:bookmarkStart w:id="12" w:name="_Toc22632"/>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开户行：中国工商银行焦作分行中铝支行</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银行账号：1709028019200089451</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4EE2422"/>
    <w:rsid w:val="05880374"/>
    <w:rsid w:val="05C532C6"/>
    <w:rsid w:val="06EC048E"/>
    <w:rsid w:val="08164F8D"/>
    <w:rsid w:val="0AA27488"/>
    <w:rsid w:val="0B094A63"/>
    <w:rsid w:val="0B2F3A13"/>
    <w:rsid w:val="0C880C59"/>
    <w:rsid w:val="0C9475FE"/>
    <w:rsid w:val="0D7F205C"/>
    <w:rsid w:val="0D823AD3"/>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6E50B54"/>
    <w:rsid w:val="16EF56BF"/>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4A0403"/>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2A67ED"/>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4">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spacing w:line="360" w:lineRule="auto"/>
      <w:ind w:firstLine="200" w:firstLineChars="200"/>
    </w:pPr>
    <w:rPr>
      <w:rFonts w:ascii="宋体" w:hAnsi="宋体"/>
      <w:sz w:val="24"/>
      <w:szCs w:val="20"/>
    </w:rPr>
  </w:style>
  <w:style w:type="paragraph" w:styleId="6">
    <w:name w:val="annotation text"/>
    <w:basedOn w:val="1"/>
    <w:qFormat/>
    <w:uiPriority w:val="0"/>
    <w:pPr>
      <w:jc w:val="left"/>
    </w:pPr>
    <w:rPr>
      <w:rFonts w:ascii="Calibri" w:hAnsi="Calibri" w:eastAsia="宋体" w:cs="Times New Roman"/>
    </w:rPr>
  </w:style>
  <w:style w:type="paragraph" w:styleId="7">
    <w:name w:val="Body Text Indent"/>
    <w:basedOn w:val="1"/>
    <w:next w:val="5"/>
    <w:qFormat/>
    <w:uiPriority w:val="0"/>
    <w:pPr>
      <w:widowControl/>
      <w:spacing w:after="120" w:afterAutospacing="0"/>
      <w:ind w:left="420" w:leftChars="200"/>
      <w:jc w:val="left"/>
    </w:pPr>
    <w:rPr>
      <w:kern w:val="0"/>
      <w:sz w:val="20"/>
      <w:szCs w:val="20"/>
      <w:lang w:val="en-GB" w:eastAsia="en-US"/>
    </w:rPr>
  </w:style>
  <w:style w:type="paragraph" w:styleId="8">
    <w:name w:val="Body Text 2"/>
    <w:basedOn w:val="1"/>
    <w:next w:val="2"/>
    <w:qFormat/>
    <w:uiPriority w:val="0"/>
    <w:pPr>
      <w:spacing w:after="120" w:line="480" w:lineRule="auto"/>
    </w:pPr>
  </w:style>
  <w:style w:type="paragraph" w:styleId="9">
    <w:name w:val="Body Text First Indent"/>
    <w:basedOn w:val="2"/>
    <w:next w:val="1"/>
    <w:qFormat/>
    <w:uiPriority w:val="0"/>
    <w:pPr>
      <w:widowControl w:val="0"/>
      <w:spacing w:after="120"/>
      <w:ind w:firstLine="420" w:firstLineChars="100"/>
      <w:jc w:val="both"/>
    </w:pPr>
    <w:rPr>
      <w:kern w:val="2"/>
      <w:sz w:val="21"/>
      <w:szCs w:val="24"/>
      <w:lang w:val="en-US" w:eastAsia="zh-CN" w:bidi="ar-SA"/>
    </w:rPr>
  </w:style>
  <w:style w:type="paragraph" w:styleId="10">
    <w:name w:val="Body Text First Indent 2"/>
    <w:basedOn w:val="1"/>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2026-03-17T04:56:03Z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