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中铝中州铝业有限公司台马沟、新庄沟赤泥库库区维护修缮修理业务采购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采购编号：CG-ZZ-202603-SCGK-SCJSK-00</w:t>
      </w:r>
      <w:r>
        <w:rPr>
          <w:rFonts w:hint="eastAsia" w:ascii="黑体" w:hAnsi="黑体" w:eastAsia="黑体" w:cs="黑体"/>
          <w:bCs/>
          <w:sz w:val="36"/>
          <w:szCs w:val="36"/>
          <w:lang w:val="en-US" w:eastAsia="zh-CN"/>
        </w:rPr>
        <w:t>3</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中铝中州铝业有限公司台马沟、新庄沟赤泥库库区维护修缮修理业务已具备采购条件，资金自筹且已落实。采购人为：中铝中州铝业有限公司生产管控中心。采购人对该项目进行竞价采购，报价方式为现场报价。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2.1项目名称：中铝中州铝业有限公司台马沟、新庄沟赤泥库库区维护修缮修理业务</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2.2项目类型：承揽</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2.3项目概况：根据《尾矿库安全规程》（GB 39496-2020）及《尾矿库安全监督管理规定》（国家安全生产监督管理总局令第38号）中对尾矿库安全管理的相关要求，为保障尾矿库安全稳定运行可控，需要委托具备相应资质的单位对中铝中州铝业有限公司台马沟、新庄沟赤泥库安全设施进行日常性的维护、修缮，确保尾矿库安全设施处于良好运行状态。</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2.4项目地点：焦作市尾矿区域台马沟、新庄沟赤泥库库区</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2.5.1主要内容：</w:t>
      </w:r>
      <w:r>
        <w:rPr>
          <w:rFonts w:hint="default" w:ascii="仿宋" w:hAnsi="仿宋" w:eastAsia="仿宋" w:cs="仿宋"/>
          <w:bCs/>
          <w:sz w:val="24"/>
          <w:lang w:val="en-US" w:eastAsia="zh-CN"/>
        </w:rPr>
        <w:t>库区防渗膜铺设，坝体排水沟清淤、修建，排水斜槽拱板浇筑、安装，坝面冲沟治理、绿化覆土，上坝道路维护，排水涵管、回水池清淤等。</w:t>
      </w:r>
      <w:r>
        <w:rPr>
          <w:rFonts w:hint="eastAsia" w:ascii="仿宋" w:hAnsi="仿宋" w:eastAsia="仿宋" w:cs="仿宋"/>
          <w:bCs/>
          <w:sz w:val="24"/>
          <w:lang w:val="en-US" w:eastAsia="zh-CN"/>
        </w:rPr>
        <w:t>库区防渗膜铺设约10000m2，坝体排水沟清淤、修复约760m，排水斜槽拱板浇筑、安装约100m，坝面冲沟治理、绿化覆土约3800m2，,上坝道路维护约180m，排水涵管、回水池清淤约160m3等，甲供材为：防渗膜、土工布、钢材。结算以实际发生量据实结算。</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2.5.2质量要求：1.质量标准满足GB 50300-2013《建设工程施工质量验收统一标准》；2.技术参数满足GB 50864-2013《尾矿设施施工及验收规范》要求。</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2.8工期：2026年4月1日至2027年3月31日。</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1中华人民共和国注册登记的，持有合法有效的营业执照或事业单位法人证书</w:t>
      </w:r>
      <w:r>
        <w:rPr>
          <w:rFonts w:hint="eastAsia" w:ascii="仿宋" w:hAnsi="仿宋" w:eastAsia="仿宋" w:cs="仿宋"/>
          <w:bCs/>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2具备履行合同的能力，包括资质状况，专业、技术资格和能力，资金、设备和其他设施状况，管理能力，经验、信誉和相应的从业人员；</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3报价人没有处于被责令停业，报价资格没有被取消，财产没有被接管、冻结、破产状态；在最近三</w:t>
      </w:r>
      <w:bookmarkStart w:id="14" w:name="_GoBack"/>
      <w:bookmarkEnd w:id="14"/>
      <w:r>
        <w:rPr>
          <w:rFonts w:hint="default" w:ascii="仿宋" w:hAnsi="仿宋" w:eastAsia="仿宋" w:cs="仿宋"/>
          <w:bCs/>
          <w:sz w:val="24"/>
          <w:lang w:val="en-US" w:eastAsia="zh-CN"/>
        </w:rPr>
        <w:t>年内没有骗取中选和严重违约及重大质量问题；</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default" w:ascii="仿宋" w:hAnsi="仿宋" w:eastAsia="仿宋" w:cs="仿宋"/>
          <w:bCs/>
          <w:sz w:val="24"/>
          <w:lang w:val="en-US" w:eastAsia="zh-CN"/>
        </w:rPr>
        <w:t>4在承接类似于本项目的相关业务中，没有出现报价人负主要责任的安全、技术、质量、商务等纠纷，没有产生严重后果，造成重大经济损失，不得在招报价数据库中存在不良记录；</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5信誉要求：报价人在全国法院失信被执行人名单信息公布与查询网(http://zxgk.court.gov.cn)和国家发展改革委信用中国(www.creditchina. gov.cn)网站上未被列入失信被执行人、重大税收违法案件当事人名单；未列入中铝集团有限公司承包商黑名单；</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6满足《建设项目安全设施“三同时”监督管理办法》要求要求，具备法律、行政法规规定的其他资格条件；</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7本项目不允许联合体报价，不允许转包、分包；</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8报价人的安全能力能满足采购文件的要求，包括资质能力、管理能力、人员能力、绩效能力等；</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9有近三年同行业内良好的施工信誉；</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10严格遵守中铝中州铝业有限公司的规章制度，报价单位中选后签订《安全管理协议》；</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11业绩要求：必须有近三年两个及以上类似业绩。</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0" w:name="_Toc517804008"/>
      <w:bookmarkStart w:id="1" w:name="_Toc27489"/>
      <w:bookmarkStart w:id="2" w:name="_Toc3201944"/>
      <w:bookmarkStart w:id="3" w:name="_Toc518044994"/>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报价单位需在现场报价前向采购人缴纳报价保证金1万元。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开户行：中国工商银行焦作分行中铝支行</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银行账号：1709028019200089451</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汇款备注中，须注明“中铝中州铝业有限公司台马沟、新庄沟赤泥库库区维护修缮修理业务采购文件费”、“中铝中州铝业有限公司台马沟、新庄沟赤泥库库区维护修缮修理业务报价保证金”</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购买采购文件时间：自公告之日起至2026年3月24日16:30（北京时间）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517804009"/>
      <w:bookmarkStart w:id="5" w:name="_Toc518044995"/>
      <w:bookmarkStart w:id="6" w:name="_Toc9267"/>
      <w:bookmarkStart w:id="7" w:name="_Toc3201945"/>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报价文件递交截止时间/报价时间：2026年3月25日11:00（北京时间）。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报价及评审地点：中铝中州铝业生产管控中心生产质量办公室会议室（中州铝业办公楼西保卫部三楼）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517804011"/>
      <w:bookmarkStart w:id="10" w:name="_Toc518044997"/>
      <w:bookmarkStart w:id="11" w:name="_Toc22632"/>
      <w:bookmarkStart w:id="12" w:name="_Toc3201947"/>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开户行：中国工商银行焦作分行中铝支行</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银行账号：1709028019200089451</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4EE2422"/>
    <w:rsid w:val="05880374"/>
    <w:rsid w:val="05C532C6"/>
    <w:rsid w:val="06EC048E"/>
    <w:rsid w:val="08164F8D"/>
    <w:rsid w:val="0AA27488"/>
    <w:rsid w:val="0B094A63"/>
    <w:rsid w:val="0B2F3A13"/>
    <w:rsid w:val="0C880C59"/>
    <w:rsid w:val="0C9475FE"/>
    <w:rsid w:val="0D7F205C"/>
    <w:rsid w:val="0D823AD3"/>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6EF56BF"/>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77978C1"/>
    <w:rsid w:val="490F1FF3"/>
    <w:rsid w:val="49695393"/>
    <w:rsid w:val="497955D6"/>
    <w:rsid w:val="49E07403"/>
    <w:rsid w:val="4B4843E2"/>
    <w:rsid w:val="4C27758A"/>
    <w:rsid w:val="4CFD651E"/>
    <w:rsid w:val="4EDB288F"/>
    <w:rsid w:val="51735001"/>
    <w:rsid w:val="523C1897"/>
    <w:rsid w:val="52F83A10"/>
    <w:rsid w:val="54D32704"/>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2A67ED"/>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4">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spacing w:line="360" w:lineRule="auto"/>
      <w:ind w:firstLine="200" w:firstLineChars="200"/>
    </w:pPr>
    <w:rPr>
      <w:rFonts w:ascii="宋体" w:hAnsi="宋体"/>
      <w:sz w:val="24"/>
      <w:szCs w:val="20"/>
    </w:rPr>
  </w:style>
  <w:style w:type="paragraph" w:styleId="6">
    <w:name w:val="annotation text"/>
    <w:basedOn w:val="1"/>
    <w:qFormat/>
    <w:uiPriority w:val="0"/>
    <w:pPr>
      <w:jc w:val="left"/>
    </w:pPr>
    <w:rPr>
      <w:rFonts w:ascii="Calibri" w:hAnsi="Calibri" w:eastAsia="宋体" w:cs="Times New Roman"/>
    </w:rPr>
  </w:style>
  <w:style w:type="paragraph" w:styleId="7">
    <w:name w:val="Body Text Indent"/>
    <w:basedOn w:val="1"/>
    <w:next w:val="5"/>
    <w:qFormat/>
    <w:uiPriority w:val="0"/>
    <w:pPr>
      <w:widowControl/>
      <w:spacing w:after="120" w:afterAutospacing="0"/>
      <w:ind w:left="420" w:leftChars="200"/>
      <w:jc w:val="left"/>
    </w:pPr>
    <w:rPr>
      <w:kern w:val="0"/>
      <w:sz w:val="20"/>
      <w:szCs w:val="20"/>
      <w:lang w:val="en-GB" w:eastAsia="en-US"/>
    </w:rPr>
  </w:style>
  <w:style w:type="paragraph" w:styleId="8">
    <w:name w:val="Body Text 2"/>
    <w:basedOn w:val="1"/>
    <w:next w:val="2"/>
    <w:qFormat/>
    <w:uiPriority w:val="0"/>
    <w:pPr>
      <w:spacing w:after="120" w:line="480" w:lineRule="auto"/>
    </w:pPr>
  </w:style>
  <w:style w:type="paragraph" w:styleId="9">
    <w:name w:val="Body Text First Indent"/>
    <w:basedOn w:val="2"/>
    <w:next w:val="1"/>
    <w:qFormat/>
    <w:uiPriority w:val="0"/>
    <w:pPr>
      <w:widowControl w:val="0"/>
      <w:spacing w:after="120"/>
      <w:ind w:firstLine="420" w:firstLineChars="100"/>
      <w:jc w:val="both"/>
    </w:pPr>
    <w:rPr>
      <w:kern w:val="2"/>
      <w:sz w:val="21"/>
      <w:szCs w:val="24"/>
      <w:lang w:val="en-US" w:eastAsia="zh-CN" w:bidi="ar-SA"/>
    </w:rPr>
  </w:style>
  <w:style w:type="paragraph" w:styleId="10">
    <w:name w:val="Body Text First Indent 2"/>
    <w:basedOn w:val="1"/>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2026-03-17T04:55:59Z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