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ind w:left="479" w:leftChars="228" w:firstLine="0" w:firstLineChars="0"/>
        <w:jc w:val="center"/>
        <w:textAlignment w:val="baseline"/>
        <w:rPr>
          <w:rFonts w:hint="eastAsia" w:ascii="黑体" w:hAnsi="黑体" w:eastAsia="黑体" w:cs="黑体"/>
          <w:bCs/>
          <w:sz w:val="36"/>
          <w:szCs w:val="36"/>
        </w:rPr>
      </w:pPr>
      <w:r>
        <w:rPr>
          <w:rFonts w:hint="eastAsia" w:ascii="黑体" w:hAnsi="黑体" w:eastAsia="黑体" w:cs="黑体"/>
          <w:bCs/>
          <w:sz w:val="36"/>
          <w:szCs w:val="36"/>
          <w:lang w:eastAsia="zh-CN"/>
        </w:rPr>
        <w:t>禹州市方山铝土矿文物勘探及文物影响评估报告编制项目采购</w:t>
      </w:r>
      <w:r>
        <w:rPr>
          <w:rFonts w:hint="eastAsia" w:ascii="黑体" w:hAnsi="黑体" w:eastAsia="黑体" w:cs="黑体"/>
          <w:bCs/>
          <w:sz w:val="36"/>
          <w:szCs w:val="36"/>
        </w:rPr>
        <w:t>公告</w:t>
      </w:r>
    </w:p>
    <w:p>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采购编号：CG-ZZ-202604-SCGK-SCJSK-00</w:t>
      </w:r>
      <w:r>
        <w:rPr>
          <w:rFonts w:hint="eastAsia" w:ascii="黑体" w:hAnsi="黑体" w:eastAsia="黑体" w:cs="黑体"/>
          <w:bCs/>
          <w:sz w:val="36"/>
          <w:szCs w:val="36"/>
          <w:lang w:val="en-US" w:eastAsia="zh-CN"/>
        </w:rPr>
        <w:t>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baseline"/>
        <w:rPr>
          <w:rFonts w:hint="eastAsia" w:ascii="仿宋" w:hAnsi="仿宋" w:eastAsia="仿宋" w:cs="仿宋"/>
          <w:bCs/>
          <w:sz w:val="24"/>
          <w:lang w:val="en-US" w:eastAsia="zh-CN"/>
        </w:rPr>
      </w:pPr>
      <w:r>
        <w:rPr>
          <w:rFonts w:hint="eastAsia" w:ascii="仿宋_GB2312" w:eastAsia="仿宋_GB2312"/>
          <w:bCs/>
          <w:sz w:val="24"/>
          <w:lang w:eastAsia="zh-CN"/>
        </w:rPr>
        <w:t>禹州市方山铝土矿文物勘探及文物影响评估报告编制项目</w:t>
      </w:r>
      <w:r>
        <w:rPr>
          <w:rFonts w:hint="eastAsia" w:ascii="仿宋" w:hAnsi="仿宋" w:eastAsia="仿宋" w:cs="仿宋"/>
          <w:bCs/>
          <w:sz w:val="24"/>
          <w:lang w:val="en-US" w:eastAsia="zh-CN"/>
        </w:rPr>
        <w:t>已具备采购条件，资金自筹且已落实。采购人为：中铝中州铝业有限公司生产管控中心。采购人对该项目进行竞价采购，报价方式为现场报价。</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pPr>
        <w:snapToGrid w:val="0"/>
        <w:spacing w:line="400" w:lineRule="exact"/>
        <w:ind w:left="479" w:leftChars="228" w:firstLine="0" w:firstLineChars="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w:t>
      </w:r>
      <w:r>
        <w:rPr>
          <w:rFonts w:hint="eastAsia" w:ascii="仿宋_GB2312" w:eastAsia="仿宋_GB2312"/>
          <w:bCs/>
          <w:sz w:val="24"/>
          <w:lang w:eastAsia="zh-CN"/>
        </w:rPr>
        <w:t>禹州市方山铝土矿文物勘探及文物影响评估报告编制项目</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baseline"/>
        <w:rPr>
          <w:rFonts w:hint="eastAsia" w:ascii="仿宋" w:hAnsi="仿宋" w:eastAsia="仿宋" w:cs="仿宋"/>
          <w:bCs/>
          <w:color w:val="auto"/>
          <w:sz w:val="24"/>
          <w:szCs w:val="24"/>
          <w:highlight w:val="none"/>
          <w:lang w:val="en-US" w:eastAsia="zh-CN"/>
        </w:rPr>
      </w:pPr>
      <w:r>
        <w:rPr>
          <w:rFonts w:hint="eastAsia" w:ascii="仿宋" w:hAnsi="仿宋" w:eastAsia="仿宋" w:cs="仿宋"/>
          <w:bCs/>
          <w:sz w:val="24"/>
          <w:lang w:val="en-US" w:eastAsia="zh-CN"/>
        </w:rPr>
        <w:t>2.3项目概况：</w:t>
      </w:r>
      <w:r>
        <w:rPr>
          <w:rFonts w:hint="eastAsia" w:ascii="仿宋_GB2312" w:eastAsia="仿宋_GB2312" w:cs="Times New Roman"/>
          <w:bCs/>
          <w:sz w:val="24"/>
          <w:lang w:val="en-US" w:eastAsia="zh-CN"/>
        </w:rPr>
        <w:t>为保证方山铝土矿开采方案尽快完成评审，根据当地禹州市文化广电和旅游局要求，需编制禹州市方山铝土矿文物勘探及文物影响评估报告，并通过相关部门的专家评审及备案</w:t>
      </w:r>
      <w:r>
        <w:rPr>
          <w:rFonts w:hint="eastAsia" w:ascii="仿宋" w:hAnsi="仿宋" w:eastAsia="仿宋" w:cs="仿宋"/>
          <w:bCs/>
          <w:color w:val="auto"/>
          <w:sz w:val="24"/>
          <w:szCs w:val="24"/>
          <w:highlight w:val="none"/>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w:t>
      </w:r>
      <w:r>
        <w:rPr>
          <w:rFonts w:hint="eastAsia" w:ascii="仿宋_GB2312" w:eastAsia="仿宋_GB2312"/>
          <w:bCs/>
          <w:sz w:val="24"/>
          <w:lang w:val="en-US" w:eastAsia="zh-CN"/>
        </w:rPr>
        <w:t>禹州市方山镇</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pPr>
        <w:snapToGrid w:val="0"/>
        <w:spacing w:line="400" w:lineRule="exact"/>
        <w:ind w:firstLine="480" w:firstLineChars="200"/>
        <w:textAlignment w:val="baseline"/>
        <w:rPr>
          <w:rFonts w:hint="eastAsia" w:ascii="仿宋" w:hAnsi="仿宋" w:eastAsia="仿宋" w:cs="仿宋"/>
          <w:bCs/>
          <w:color w:val="auto"/>
          <w:sz w:val="24"/>
          <w:szCs w:val="24"/>
          <w:highlight w:val="none"/>
          <w:lang w:val="en-US" w:eastAsia="zh-CN"/>
        </w:rPr>
      </w:pPr>
      <w:r>
        <w:rPr>
          <w:rFonts w:hint="eastAsia" w:ascii="仿宋_GB2312" w:eastAsia="仿宋_GB2312" w:cs="Times New Roman"/>
          <w:bCs/>
          <w:sz w:val="24"/>
          <w:lang w:val="en-US" w:eastAsia="zh-CN"/>
        </w:rPr>
        <w:t>编制文物勘探报告及文物影响评估报告</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pPr>
        <w:pStyle w:val="3"/>
        <w:snapToGrid w:val="0"/>
        <w:spacing w:line="400" w:lineRule="exact"/>
        <w:ind w:left="480" w:right="-22"/>
        <w:textAlignment w:val="baseline"/>
        <w:rPr>
          <w:rFonts w:ascii="仿宋_GB2312" w:eastAsia="仿宋_GB2312"/>
          <w:bCs/>
          <w:sz w:val="24"/>
        </w:rPr>
      </w:pPr>
      <w:r>
        <w:rPr>
          <w:rFonts w:hint="eastAsia" w:ascii="仿宋_GB2312" w:eastAsia="仿宋_GB2312"/>
          <w:bCs/>
          <w:sz w:val="24"/>
          <w:lang w:val="en-US" w:eastAsia="zh-CN"/>
        </w:rPr>
        <w:t>2.5</w:t>
      </w:r>
      <w:r>
        <w:rPr>
          <w:rFonts w:hint="eastAsia" w:ascii="仿宋_GB2312" w:eastAsia="仿宋_GB2312"/>
          <w:bCs/>
          <w:sz w:val="24"/>
        </w:rPr>
        <w:t>.2.1</w:t>
      </w:r>
      <w:r>
        <w:rPr>
          <w:rFonts w:hint="eastAsia" w:ascii="仿宋_GB2312" w:eastAsia="仿宋_GB2312"/>
          <w:bCs/>
          <w:color w:val="000000"/>
          <w:sz w:val="24"/>
        </w:rPr>
        <w:t>符合</w:t>
      </w:r>
      <w:r>
        <w:rPr>
          <w:rFonts w:hint="eastAsia" w:ascii="仿宋_GB2312" w:eastAsia="仿宋_GB2312"/>
          <w:bCs/>
          <w:color w:val="000000"/>
          <w:sz w:val="24"/>
          <w:lang w:val="en-US" w:eastAsia="zh-CN"/>
        </w:rPr>
        <w:t>文物影响评估报告编制的</w:t>
      </w:r>
      <w:r>
        <w:rPr>
          <w:rFonts w:hint="eastAsia" w:ascii="仿宋_GB2312" w:eastAsia="仿宋_GB2312"/>
          <w:bCs/>
          <w:color w:val="000000"/>
          <w:sz w:val="24"/>
        </w:rPr>
        <w:t>相关要求；</w:t>
      </w:r>
    </w:p>
    <w:p>
      <w:pPr>
        <w:snapToGrid w:val="0"/>
        <w:spacing w:line="400" w:lineRule="exact"/>
        <w:ind w:firstLine="480" w:firstLineChars="200"/>
        <w:textAlignment w:val="baseline"/>
        <w:rPr>
          <w:rFonts w:hint="eastAsia" w:ascii="仿宋_GB2312" w:eastAsia="仿宋_GB2312"/>
          <w:bCs/>
          <w:color w:val="000000"/>
          <w:sz w:val="24"/>
        </w:rPr>
      </w:pPr>
      <w:r>
        <w:rPr>
          <w:rFonts w:hint="eastAsia" w:ascii="仿宋_GB2312" w:eastAsia="仿宋_GB2312"/>
          <w:bCs/>
          <w:sz w:val="24"/>
          <w:lang w:val="en-US" w:eastAsia="zh-CN"/>
        </w:rPr>
        <w:t>2.5</w:t>
      </w:r>
      <w:r>
        <w:rPr>
          <w:rFonts w:hint="eastAsia" w:ascii="仿宋_GB2312" w:eastAsia="仿宋_GB2312"/>
          <w:bCs/>
          <w:sz w:val="24"/>
        </w:rPr>
        <w:t>.2.2</w:t>
      </w:r>
      <w:r>
        <w:rPr>
          <w:rFonts w:hint="eastAsia" w:ascii="仿宋_GB2312" w:eastAsia="仿宋_GB2312" w:cs="Times New Roman"/>
          <w:bCs/>
          <w:sz w:val="24"/>
          <w:lang w:val="en-US" w:eastAsia="zh-CN"/>
        </w:rPr>
        <w:t>文物影响评估报告需通过文物管理主管部门组织的专家评审</w:t>
      </w:r>
      <w:r>
        <w:rPr>
          <w:rFonts w:hint="eastAsia" w:ascii="仿宋_GB2312" w:eastAsia="仿宋_GB2312"/>
          <w:bCs/>
          <w:color w:val="000000"/>
          <w:sz w:val="24"/>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2.8工期：</w:t>
      </w:r>
      <w:r>
        <w:rPr>
          <w:rFonts w:hint="eastAsia" w:ascii="仿宋_GB2312" w:eastAsia="仿宋_GB2312"/>
          <w:bCs/>
          <w:sz w:val="24"/>
          <w:lang w:eastAsia="zh-CN"/>
        </w:rPr>
        <w:t>自合同签订之日起</w:t>
      </w:r>
      <w:r>
        <w:rPr>
          <w:rFonts w:hint="eastAsia" w:ascii="仿宋_GB2312" w:eastAsia="仿宋_GB2312"/>
          <w:bCs/>
          <w:color w:val="000000"/>
          <w:sz w:val="24"/>
          <w:lang w:val="en-US" w:eastAsia="zh-CN"/>
        </w:rPr>
        <w:t>21天完成初稿，37天完成评审备案</w:t>
      </w:r>
      <w:r>
        <w:rPr>
          <w:rFonts w:hint="eastAsia" w:ascii="仿宋" w:hAnsi="仿宋" w:eastAsia="仿宋" w:cs="仿宋"/>
          <w:bCs/>
          <w:sz w:val="24"/>
          <w:lang w:val="en-US" w:eastAsia="zh-CN"/>
        </w:rPr>
        <w:t>。</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pPr>
        <w:snapToGrid w:val="0"/>
        <w:spacing w:line="400" w:lineRule="exact"/>
        <w:ind w:firstLine="480" w:firstLineChars="200"/>
        <w:textAlignment w:val="baseline"/>
        <w:rPr>
          <w:rFonts w:hint="default" w:ascii="仿宋_GB2312" w:hAnsi="Calibri" w:eastAsia="仿宋_GB2312" w:cs="Times New Roman"/>
          <w:bCs/>
          <w:kern w:val="2"/>
          <w:sz w:val="24"/>
          <w:szCs w:val="24"/>
          <w:lang w:val="en-US" w:eastAsia="zh-CN" w:bidi="ar-SA"/>
        </w:rPr>
      </w:pPr>
      <w:r>
        <w:rPr>
          <w:rFonts w:hint="default" w:ascii="仿宋_GB2312" w:hAnsi="Calibri" w:eastAsia="仿宋_GB2312" w:cs="Times New Roman"/>
          <w:bCs/>
          <w:kern w:val="2"/>
          <w:sz w:val="24"/>
          <w:szCs w:val="24"/>
          <w:lang w:val="en-US" w:eastAsia="zh-CN" w:bidi="ar-SA"/>
        </w:rPr>
        <w:t>1</w:t>
      </w:r>
      <w:r>
        <w:rPr>
          <w:rFonts w:hint="eastAsia" w:ascii="仿宋_GB2312" w:hAnsi="Calibri" w:eastAsia="仿宋_GB2312" w:cs="Times New Roman"/>
          <w:bCs/>
          <w:kern w:val="2"/>
          <w:sz w:val="24"/>
          <w:szCs w:val="24"/>
          <w:lang w:val="en-US" w:eastAsia="zh-CN" w:bidi="ar-SA"/>
        </w:rPr>
        <w:t>、</w:t>
      </w:r>
      <w:r>
        <w:rPr>
          <w:rFonts w:hint="default" w:ascii="仿宋_GB2312" w:hAnsi="Calibri" w:eastAsia="仿宋_GB2312" w:cs="Times New Roman"/>
          <w:bCs/>
          <w:kern w:val="2"/>
          <w:sz w:val="24"/>
          <w:szCs w:val="24"/>
          <w:lang w:val="en-US" w:eastAsia="zh-CN" w:bidi="ar-SA"/>
        </w:rPr>
        <w:t>中华人民共和国注册登记的</w:t>
      </w:r>
      <w:r>
        <w:rPr>
          <w:rFonts w:hint="eastAsia" w:ascii="仿宋_GB2312" w:hAnsi="Calibri" w:eastAsia="仿宋_GB2312" w:cs="Times New Roman"/>
          <w:bCs/>
          <w:kern w:val="2"/>
          <w:sz w:val="24"/>
          <w:szCs w:val="24"/>
          <w:lang w:val="en-US" w:eastAsia="zh-CN" w:bidi="ar-SA"/>
        </w:rPr>
        <w:t>，持有合法有效的营业执照或事业单位法人证书；</w:t>
      </w:r>
    </w:p>
    <w:p>
      <w:pPr>
        <w:snapToGrid w:val="0"/>
        <w:spacing w:line="400" w:lineRule="exact"/>
        <w:ind w:firstLine="480" w:firstLineChars="200"/>
        <w:textAlignment w:val="baseline"/>
        <w:rPr>
          <w:rFonts w:hint="default" w:ascii="仿宋_GB2312" w:hAnsi="Calibri" w:eastAsia="仿宋_GB2312" w:cs="Times New Roman"/>
          <w:bCs/>
          <w:kern w:val="2"/>
          <w:sz w:val="24"/>
          <w:szCs w:val="24"/>
          <w:lang w:val="en-US" w:eastAsia="zh-CN" w:bidi="ar-SA"/>
        </w:rPr>
      </w:pPr>
      <w:r>
        <w:rPr>
          <w:rFonts w:hint="default" w:ascii="仿宋_GB2312" w:hAnsi="Calibri" w:eastAsia="仿宋_GB2312" w:cs="Times New Roman"/>
          <w:bCs/>
          <w:kern w:val="2"/>
          <w:sz w:val="24"/>
          <w:szCs w:val="24"/>
          <w:lang w:val="en-US" w:eastAsia="zh-CN" w:bidi="ar-SA"/>
        </w:rPr>
        <w:t>2</w:t>
      </w:r>
      <w:r>
        <w:rPr>
          <w:rFonts w:hint="eastAsia" w:ascii="仿宋_GB2312" w:hAnsi="Calibri" w:eastAsia="仿宋_GB2312" w:cs="Times New Roman"/>
          <w:bCs/>
          <w:kern w:val="2"/>
          <w:sz w:val="24"/>
          <w:szCs w:val="24"/>
          <w:lang w:val="en-US" w:eastAsia="zh-CN" w:bidi="ar-SA"/>
        </w:rPr>
        <w:t>、</w:t>
      </w:r>
      <w:r>
        <w:rPr>
          <w:rFonts w:hint="default" w:ascii="仿宋_GB2312" w:hAnsi="Calibri" w:eastAsia="仿宋_GB2312" w:cs="Times New Roman"/>
          <w:bCs/>
          <w:kern w:val="2"/>
          <w:sz w:val="24"/>
          <w:szCs w:val="24"/>
          <w:lang w:val="en-US" w:eastAsia="zh-CN" w:bidi="ar-SA"/>
        </w:rPr>
        <w:t>具备履行合同的能力，包括资质状况，专业、技术资格和能力，资金、设备和其他设施状况，管理能力，经验、信誉和相应的从业人员；</w:t>
      </w:r>
    </w:p>
    <w:p>
      <w:pPr>
        <w:snapToGrid w:val="0"/>
        <w:spacing w:line="400" w:lineRule="exact"/>
        <w:ind w:firstLine="480" w:firstLineChars="200"/>
        <w:textAlignment w:val="baseline"/>
        <w:rPr>
          <w:rFonts w:hint="default" w:ascii="仿宋_GB2312" w:hAnsi="Calibri" w:eastAsia="仿宋_GB2312" w:cs="Times New Roman"/>
          <w:bCs/>
          <w:kern w:val="2"/>
          <w:sz w:val="24"/>
          <w:szCs w:val="24"/>
          <w:lang w:val="en-US" w:eastAsia="zh-CN" w:bidi="ar-SA"/>
        </w:rPr>
      </w:pPr>
      <w:r>
        <w:rPr>
          <w:rFonts w:hint="default" w:ascii="仿宋_GB2312" w:hAnsi="Calibri" w:eastAsia="仿宋_GB2312" w:cs="Times New Roman"/>
          <w:bCs/>
          <w:kern w:val="2"/>
          <w:sz w:val="24"/>
          <w:szCs w:val="24"/>
          <w:lang w:val="en-US" w:eastAsia="zh-CN" w:bidi="ar-SA"/>
        </w:rPr>
        <w:t>3</w:t>
      </w:r>
      <w:r>
        <w:rPr>
          <w:rFonts w:hint="eastAsia" w:ascii="仿宋_GB2312" w:hAnsi="Calibri" w:eastAsia="仿宋_GB2312" w:cs="Times New Roman"/>
          <w:bCs/>
          <w:kern w:val="2"/>
          <w:sz w:val="24"/>
          <w:szCs w:val="24"/>
          <w:lang w:val="en-US" w:eastAsia="zh-CN" w:bidi="ar-SA"/>
        </w:rPr>
        <w:t>、</w:t>
      </w:r>
      <w:r>
        <w:rPr>
          <w:rFonts w:hint="default" w:ascii="仿宋_GB2312" w:hAnsi="Calibri" w:eastAsia="仿宋_GB2312" w:cs="Times New Roman"/>
          <w:bCs/>
          <w:kern w:val="2"/>
          <w:sz w:val="24"/>
          <w:szCs w:val="24"/>
          <w:lang w:val="en-US" w:eastAsia="zh-CN" w:bidi="ar-SA"/>
        </w:rPr>
        <w:t>报价人没有处于被责令停业，报价资格没有被取消，财产没有被接管、冻结、破产状态；在最近三年内没有骗取中选和严重违约及重大质量问题；</w:t>
      </w:r>
    </w:p>
    <w:p>
      <w:pPr>
        <w:snapToGrid w:val="0"/>
        <w:spacing w:line="400" w:lineRule="exact"/>
        <w:ind w:firstLine="480" w:firstLineChars="200"/>
        <w:textAlignment w:val="baseline"/>
        <w:rPr>
          <w:rFonts w:hint="default" w:ascii="仿宋_GB2312" w:hAnsi="Calibri" w:eastAsia="仿宋_GB2312" w:cs="Times New Roman"/>
          <w:bCs/>
          <w:kern w:val="2"/>
          <w:sz w:val="24"/>
          <w:szCs w:val="24"/>
          <w:lang w:val="en-US" w:eastAsia="zh-CN" w:bidi="ar-SA"/>
        </w:rPr>
      </w:pPr>
      <w:r>
        <w:rPr>
          <w:rFonts w:hint="default" w:ascii="仿宋_GB2312" w:hAnsi="Calibri" w:eastAsia="仿宋_GB2312" w:cs="Times New Roman"/>
          <w:bCs/>
          <w:kern w:val="2"/>
          <w:sz w:val="24"/>
          <w:szCs w:val="24"/>
          <w:lang w:val="en-US" w:eastAsia="zh-CN" w:bidi="ar-SA"/>
        </w:rPr>
        <w:t>4</w:t>
      </w:r>
      <w:r>
        <w:rPr>
          <w:rFonts w:hint="eastAsia" w:ascii="仿宋_GB2312" w:hAnsi="Calibri" w:eastAsia="仿宋_GB2312" w:cs="Times New Roman"/>
          <w:bCs/>
          <w:kern w:val="2"/>
          <w:sz w:val="24"/>
          <w:szCs w:val="24"/>
          <w:lang w:val="en-US" w:eastAsia="zh-CN" w:bidi="ar-SA"/>
        </w:rPr>
        <w:t>、</w:t>
      </w:r>
      <w:r>
        <w:rPr>
          <w:rFonts w:hint="default" w:ascii="仿宋_GB2312" w:hAnsi="Calibri" w:eastAsia="仿宋_GB2312" w:cs="Times New Roman"/>
          <w:bCs/>
          <w:kern w:val="2"/>
          <w:sz w:val="24"/>
          <w:szCs w:val="24"/>
          <w:lang w:val="en-US" w:eastAsia="zh-CN" w:bidi="ar-SA"/>
        </w:rPr>
        <w:t>在承接类似于本项目的相关业务中，没有出现报价人负主要责任的安全、技术、质量、商务等纠纷，没有产生严重后果，造成重大经济损失，不得在招报价数据库中存在不良记录；</w:t>
      </w:r>
    </w:p>
    <w:p>
      <w:pPr>
        <w:snapToGrid w:val="0"/>
        <w:spacing w:line="400" w:lineRule="exact"/>
        <w:ind w:firstLine="480" w:firstLineChars="200"/>
        <w:textAlignment w:val="baseline"/>
        <w:rPr>
          <w:rFonts w:hint="default" w:ascii="仿宋_GB2312" w:hAnsi="Calibri" w:eastAsia="仿宋_GB2312" w:cs="Times New Roman"/>
          <w:bCs/>
          <w:kern w:val="2"/>
          <w:sz w:val="24"/>
          <w:szCs w:val="24"/>
          <w:lang w:val="en-US" w:eastAsia="zh-CN" w:bidi="ar-SA"/>
        </w:rPr>
      </w:pPr>
      <w:r>
        <w:rPr>
          <w:rFonts w:hint="default" w:ascii="仿宋_GB2312" w:hAnsi="Calibri" w:eastAsia="仿宋_GB2312" w:cs="Times New Roman"/>
          <w:bCs/>
          <w:kern w:val="2"/>
          <w:sz w:val="24"/>
          <w:szCs w:val="24"/>
          <w:lang w:val="en-US" w:eastAsia="zh-CN" w:bidi="ar-SA"/>
        </w:rPr>
        <w:t>5</w:t>
      </w:r>
      <w:r>
        <w:rPr>
          <w:rFonts w:hint="eastAsia" w:ascii="仿宋_GB2312" w:hAnsi="Calibri" w:eastAsia="仿宋_GB2312" w:cs="Times New Roman"/>
          <w:bCs/>
          <w:kern w:val="2"/>
          <w:sz w:val="24"/>
          <w:szCs w:val="24"/>
          <w:lang w:val="en-US" w:eastAsia="zh-CN" w:bidi="ar-SA"/>
        </w:rPr>
        <w:t>、具备乙级</w:t>
      </w:r>
      <w:r>
        <w:rPr>
          <w:rFonts w:hint="eastAsia" w:ascii="仿宋_GB2312" w:eastAsia="仿宋_GB2312" w:cs="Times New Roman"/>
          <w:bCs/>
          <w:kern w:val="2"/>
          <w:sz w:val="24"/>
          <w:szCs w:val="24"/>
          <w:lang w:val="en-US" w:eastAsia="zh-CN" w:bidi="ar-SA"/>
        </w:rPr>
        <w:t>及以上的文物保护工程设计资质</w:t>
      </w:r>
      <w:r>
        <w:rPr>
          <w:rFonts w:hint="default" w:ascii="仿宋_GB2312" w:hAnsi="Calibri" w:eastAsia="仿宋_GB2312" w:cs="Times New Roman"/>
          <w:bCs/>
          <w:kern w:val="2"/>
          <w:sz w:val="24"/>
          <w:szCs w:val="24"/>
          <w:lang w:val="en-US" w:eastAsia="zh-CN" w:bidi="ar-SA"/>
        </w:rPr>
        <w:t>；</w:t>
      </w:r>
    </w:p>
    <w:p>
      <w:pPr>
        <w:snapToGrid w:val="0"/>
        <w:spacing w:line="400" w:lineRule="exact"/>
        <w:ind w:firstLine="480" w:firstLineChars="200"/>
        <w:textAlignment w:val="baseline"/>
        <w:rPr>
          <w:rFonts w:hint="default" w:ascii="仿宋_GB2312" w:hAnsi="Calibri" w:eastAsia="仿宋_GB2312" w:cs="Times New Roman"/>
          <w:bCs/>
          <w:kern w:val="2"/>
          <w:sz w:val="24"/>
          <w:szCs w:val="24"/>
          <w:lang w:val="en-US" w:eastAsia="zh-CN" w:bidi="ar-SA"/>
        </w:rPr>
      </w:pPr>
      <w:r>
        <w:rPr>
          <w:rFonts w:hint="eastAsia" w:ascii="仿宋_GB2312" w:hAnsi="Calibri" w:eastAsia="仿宋_GB2312" w:cs="Times New Roman"/>
          <w:bCs/>
          <w:kern w:val="2"/>
          <w:sz w:val="24"/>
          <w:szCs w:val="24"/>
          <w:lang w:val="en-US" w:eastAsia="zh-CN" w:bidi="ar-SA"/>
        </w:rPr>
        <w:t>6、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pPr>
        <w:snapToGrid w:val="0"/>
        <w:spacing w:line="400" w:lineRule="exact"/>
        <w:ind w:firstLine="480" w:firstLineChars="200"/>
        <w:textAlignment w:val="baseline"/>
        <w:rPr>
          <w:rFonts w:hint="default" w:ascii="仿宋_GB2312" w:hAnsi="Calibri" w:eastAsia="仿宋_GB2312" w:cs="Times New Roman"/>
          <w:bCs/>
          <w:kern w:val="2"/>
          <w:sz w:val="24"/>
          <w:szCs w:val="24"/>
          <w:lang w:val="en-US" w:eastAsia="zh-CN" w:bidi="ar-SA"/>
        </w:rPr>
      </w:pPr>
      <w:r>
        <w:rPr>
          <w:rFonts w:hint="eastAsia" w:ascii="仿宋_GB2312" w:hAnsi="Calibri" w:eastAsia="仿宋_GB2312" w:cs="Times New Roman"/>
          <w:bCs/>
          <w:kern w:val="2"/>
          <w:sz w:val="24"/>
          <w:szCs w:val="24"/>
          <w:lang w:val="en-US" w:eastAsia="zh-CN" w:bidi="ar-SA"/>
        </w:rPr>
        <w:t>7、</w:t>
      </w:r>
      <w:r>
        <w:rPr>
          <w:rFonts w:hint="default" w:ascii="仿宋_GB2312" w:hAnsi="Calibri" w:eastAsia="仿宋_GB2312" w:cs="Times New Roman"/>
          <w:bCs/>
          <w:kern w:val="2"/>
          <w:sz w:val="24"/>
          <w:szCs w:val="24"/>
          <w:lang w:val="en-US" w:eastAsia="zh-CN" w:bidi="ar-SA"/>
        </w:rPr>
        <w:t>具备法律、行政法规规定的其他资格条件。</w:t>
      </w:r>
    </w:p>
    <w:p>
      <w:pPr>
        <w:snapToGrid w:val="0"/>
        <w:spacing w:line="400" w:lineRule="exact"/>
        <w:ind w:firstLine="480" w:firstLineChars="200"/>
        <w:textAlignment w:val="baseline"/>
        <w:rPr>
          <w:rFonts w:hint="eastAsia" w:ascii="仿宋_GB2312" w:hAnsi="Calibri" w:eastAsia="仿宋_GB2312" w:cs="Times New Roman"/>
          <w:bCs/>
          <w:kern w:val="2"/>
          <w:sz w:val="24"/>
          <w:szCs w:val="24"/>
          <w:lang w:val="en-US" w:eastAsia="zh-CN" w:bidi="ar-SA"/>
        </w:rPr>
      </w:pPr>
      <w:r>
        <w:rPr>
          <w:rFonts w:hint="eastAsia" w:ascii="仿宋_GB2312" w:hAnsi="Calibri" w:eastAsia="仿宋_GB2312" w:cs="Times New Roman"/>
          <w:bCs/>
          <w:kern w:val="2"/>
          <w:sz w:val="24"/>
          <w:szCs w:val="24"/>
          <w:lang w:val="en-US" w:eastAsia="zh-CN" w:bidi="ar-SA"/>
        </w:rPr>
        <w:t>8、本项目不允许联合体报价。</w:t>
      </w:r>
    </w:p>
    <w:p>
      <w:pPr>
        <w:snapToGrid w:val="0"/>
        <w:spacing w:line="400" w:lineRule="exact"/>
        <w:ind w:firstLine="480" w:firstLineChars="200"/>
        <w:textAlignment w:val="baseline"/>
        <w:rPr>
          <w:rFonts w:hint="eastAsia" w:ascii="仿宋_GB2312" w:eastAsia="仿宋_GB2312" w:cs="Times New Roman"/>
          <w:bCs/>
          <w:sz w:val="24"/>
          <w:lang w:val="en-US" w:eastAsia="zh-CN"/>
        </w:rPr>
      </w:pPr>
      <w:r>
        <w:rPr>
          <w:rFonts w:hint="eastAsia" w:ascii="仿宋_GB2312" w:hAnsi="Calibri" w:eastAsia="仿宋_GB2312" w:cs="Times New Roman"/>
          <w:bCs/>
          <w:kern w:val="2"/>
          <w:sz w:val="24"/>
          <w:szCs w:val="24"/>
          <w:lang w:val="en-US" w:eastAsia="zh-CN" w:bidi="ar-SA"/>
        </w:rPr>
        <w:t>9、报价人的安全能力能满足采购文件的要求，包括资质能力、管理能力、人员能力、绩效能力等</w:t>
      </w:r>
    </w:p>
    <w:p>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pPr>
        <w:snapToGrid w:val="0"/>
        <w:spacing w:line="400" w:lineRule="exact"/>
        <w:ind w:firstLine="480" w:firstLineChars="200"/>
        <w:textAlignment w:val="baseline"/>
        <w:rPr>
          <w:rFonts w:hint="eastAsia" w:ascii="仿宋" w:hAnsi="仿宋" w:eastAsia="仿宋" w:cs="仿宋"/>
          <w:bCs/>
          <w:sz w:val="24"/>
          <w:lang w:val="en-US" w:eastAsia="zh-CN"/>
        </w:rPr>
      </w:pPr>
      <w:bookmarkStart w:id="0" w:name="_Toc3201944"/>
      <w:bookmarkStart w:id="1" w:name="_Toc27489"/>
      <w:bookmarkStart w:id="2" w:name="_Toc517804008"/>
      <w:bookmarkStart w:id="3" w:name="_Toc518044994"/>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回执单或扫描后微信或电子邮箱发送至联系人后方可取得采购文件（纸质版）。</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napToGrid w:val="0"/>
        <w:spacing w:line="400" w:lineRule="exact"/>
        <w:ind w:firstLine="480" w:firstLineChars="200"/>
        <w:textAlignment w:val="baseline"/>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汇款备注中，须注明</w:t>
      </w:r>
      <w:r>
        <w:rPr>
          <w:rFonts w:hint="eastAsia" w:ascii="仿宋" w:hAnsi="仿宋" w:eastAsia="仿宋" w:cs="仿宋"/>
          <w:bCs/>
          <w:color w:val="auto"/>
          <w:sz w:val="24"/>
          <w:szCs w:val="24"/>
          <w:highlight w:val="none"/>
        </w:rPr>
        <w:t>“</w:t>
      </w:r>
      <w:r>
        <w:rPr>
          <w:rFonts w:hint="eastAsia" w:ascii="仿宋_GB2312" w:eastAsia="仿宋_GB2312"/>
          <w:bCs/>
          <w:sz w:val="24"/>
          <w:lang w:eastAsia="zh-CN"/>
        </w:rPr>
        <w:t>禹州市方山铝土矿文物勘探及文物影响评估报告</w:t>
      </w:r>
      <w:r>
        <w:rPr>
          <w:rFonts w:hint="eastAsia" w:ascii="仿宋_GB2312" w:eastAsia="仿宋_GB2312"/>
          <w:bCs/>
          <w:sz w:val="24"/>
        </w:rPr>
        <w:t>编制项目</w:t>
      </w:r>
      <w:r>
        <w:rPr>
          <w:rFonts w:hint="eastAsia" w:ascii="仿宋_GB2312" w:eastAsia="仿宋_GB2312"/>
          <w:bCs/>
          <w:color w:val="auto"/>
          <w:sz w:val="24"/>
          <w:highlight w:val="none"/>
        </w:rPr>
        <w:t>采购文件费</w:t>
      </w:r>
      <w:r>
        <w:rPr>
          <w:rFonts w:hint="eastAsia" w:ascii="仿宋" w:hAnsi="仿宋" w:eastAsia="仿宋" w:cs="仿宋"/>
          <w:bCs/>
          <w:color w:val="auto"/>
          <w:sz w:val="24"/>
          <w:szCs w:val="24"/>
          <w:highlight w:val="none"/>
        </w:rPr>
        <w:t>”</w:t>
      </w:r>
      <w:r>
        <w:rPr>
          <w:rFonts w:hint="eastAsia" w:ascii="仿宋" w:hAnsi="仿宋" w:eastAsia="仿宋" w:cs="仿宋"/>
          <w:bCs/>
          <w:sz w:val="24"/>
          <w:lang w:val="en-US" w:eastAsia="zh-CN"/>
        </w:rPr>
        <w:t>。</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w:t>
      </w:r>
      <w:r>
        <w:rPr>
          <w:rFonts w:hint="eastAsia" w:ascii="仿宋" w:hAnsi="仿宋" w:eastAsia="仿宋" w:cs="仿宋"/>
          <w:bCs/>
          <w:color w:val="FF0000"/>
          <w:sz w:val="24"/>
          <w:szCs w:val="24"/>
          <w:highlight w:val="none"/>
          <w:lang w:eastAsia="zh-CN"/>
        </w:rPr>
        <w:t>2026</w:t>
      </w:r>
      <w:r>
        <w:rPr>
          <w:rFonts w:hint="eastAsia" w:ascii="仿宋" w:hAnsi="仿宋" w:eastAsia="仿宋" w:cs="仿宋"/>
          <w:bCs/>
          <w:color w:val="FF0000"/>
          <w:sz w:val="24"/>
          <w:szCs w:val="24"/>
          <w:highlight w:val="none"/>
        </w:rPr>
        <w:t>年</w:t>
      </w:r>
      <w:r>
        <w:rPr>
          <w:rFonts w:hint="eastAsia" w:ascii="仿宋" w:hAnsi="仿宋" w:eastAsia="仿宋" w:cs="仿宋"/>
          <w:bCs/>
          <w:color w:val="FF0000"/>
          <w:sz w:val="24"/>
          <w:szCs w:val="24"/>
          <w:highlight w:val="none"/>
          <w:lang w:val="en-US" w:eastAsia="zh-CN"/>
        </w:rPr>
        <w:t>4</w:t>
      </w:r>
      <w:r>
        <w:rPr>
          <w:rFonts w:hint="eastAsia" w:ascii="仿宋" w:hAnsi="仿宋" w:eastAsia="仿宋" w:cs="仿宋"/>
          <w:bCs/>
          <w:color w:val="FF0000"/>
          <w:sz w:val="24"/>
          <w:szCs w:val="24"/>
          <w:highlight w:val="none"/>
        </w:rPr>
        <w:t>月</w:t>
      </w:r>
      <w:r>
        <w:rPr>
          <w:rFonts w:hint="eastAsia" w:ascii="仿宋" w:hAnsi="仿宋" w:eastAsia="仿宋" w:cs="仿宋"/>
          <w:bCs/>
          <w:color w:val="FF0000"/>
          <w:sz w:val="24"/>
          <w:szCs w:val="24"/>
          <w:highlight w:val="none"/>
          <w:lang w:val="en-US" w:eastAsia="zh-CN"/>
        </w:rPr>
        <w:t>16</w:t>
      </w:r>
      <w:r>
        <w:rPr>
          <w:rFonts w:hint="eastAsia" w:ascii="仿宋" w:hAnsi="仿宋" w:eastAsia="仿宋" w:cs="仿宋"/>
          <w:bCs/>
          <w:color w:val="FF0000"/>
          <w:sz w:val="24"/>
          <w:szCs w:val="24"/>
          <w:highlight w:val="none"/>
        </w:rPr>
        <w:t>日</w:t>
      </w:r>
      <w:r>
        <w:rPr>
          <w:rFonts w:hint="eastAsia" w:ascii="仿宋" w:hAnsi="仿宋" w:eastAsia="仿宋" w:cs="仿宋"/>
          <w:bCs/>
          <w:color w:val="FF0000"/>
          <w:sz w:val="24"/>
          <w:szCs w:val="24"/>
          <w:highlight w:val="none"/>
          <w:lang w:val="en-US" w:eastAsia="zh-CN"/>
        </w:rPr>
        <w:t>20</w:t>
      </w:r>
      <w:r>
        <w:rPr>
          <w:rFonts w:hint="eastAsia" w:ascii="仿宋" w:hAnsi="仿宋" w:eastAsia="仿宋" w:cs="仿宋"/>
          <w:bCs/>
          <w:color w:val="FF0000"/>
          <w:sz w:val="24"/>
          <w:szCs w:val="24"/>
          <w:highlight w:val="none"/>
        </w:rPr>
        <w:t>:</w:t>
      </w:r>
      <w:r>
        <w:rPr>
          <w:rFonts w:hint="eastAsia" w:ascii="仿宋" w:hAnsi="仿宋" w:eastAsia="仿宋" w:cs="仿宋"/>
          <w:bCs/>
          <w:color w:val="FF0000"/>
          <w:sz w:val="24"/>
          <w:szCs w:val="24"/>
          <w:highlight w:val="none"/>
          <w:lang w:val="en-US" w:eastAsia="zh-CN"/>
        </w:rPr>
        <w:t>30</w:t>
      </w:r>
      <w:r>
        <w:rPr>
          <w:rFonts w:hint="eastAsia" w:ascii="仿宋" w:hAnsi="仿宋" w:eastAsia="仿宋" w:cs="仿宋"/>
          <w:bCs/>
          <w:sz w:val="24"/>
          <w:lang w:val="en-US" w:eastAsia="zh-CN"/>
        </w:rPr>
        <w:t>（北京时间）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必须将企业营业执照（三证合一）、开户许可证、法人身份证（正反面）、文件费回执等传送至联系人后方可取得采购文件（电子版）。</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pPr>
        <w:spacing w:line="440" w:lineRule="exact"/>
        <w:rPr>
          <w:rFonts w:hint="eastAsia" w:ascii="仿宋" w:hAnsi="仿宋" w:eastAsia="仿宋" w:cs="仿宋"/>
          <w:b/>
          <w:bCs w:val="0"/>
          <w:sz w:val="28"/>
          <w:szCs w:val="28"/>
          <w:lang w:val="en-US" w:eastAsia="zh-CN"/>
        </w:rPr>
      </w:pPr>
      <w:bookmarkStart w:id="4" w:name="_Toc3201945"/>
      <w:bookmarkStart w:id="5" w:name="_Toc518044995"/>
      <w:bookmarkStart w:id="6" w:name="_Toc517804009"/>
      <w:bookmarkStart w:id="7" w:name="_Toc9267"/>
      <w:r>
        <w:rPr>
          <w:rFonts w:hint="eastAsia" w:ascii="仿宋" w:hAnsi="仿宋" w:eastAsia="仿宋" w:cs="仿宋"/>
          <w:b/>
          <w:bCs w:val="0"/>
          <w:sz w:val="28"/>
          <w:szCs w:val="28"/>
          <w:lang w:val="en-US" w:eastAsia="zh-CN"/>
        </w:rPr>
        <w:t>6报价文件的递交</w:t>
      </w:r>
      <w:bookmarkEnd w:id="4"/>
      <w:bookmarkEnd w:id="5"/>
      <w:bookmarkEnd w:id="6"/>
      <w:bookmarkEnd w:id="7"/>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w:t>
      </w:r>
      <w:r>
        <w:rPr>
          <w:rFonts w:hint="eastAsia" w:ascii="仿宋" w:hAnsi="仿宋" w:eastAsia="仿宋" w:cs="仿宋"/>
          <w:color w:val="FF0000"/>
          <w:sz w:val="24"/>
          <w:szCs w:val="24"/>
          <w:highlight w:val="none"/>
          <w:lang w:eastAsia="zh-CN"/>
        </w:rPr>
        <w:t>2026</w:t>
      </w:r>
      <w:r>
        <w:rPr>
          <w:rFonts w:hint="eastAsia" w:ascii="仿宋" w:hAnsi="仿宋" w:eastAsia="仿宋" w:cs="仿宋"/>
          <w:color w:val="FF0000"/>
          <w:sz w:val="24"/>
          <w:szCs w:val="24"/>
          <w:highlight w:val="none"/>
        </w:rPr>
        <w:t>年</w:t>
      </w:r>
      <w:r>
        <w:rPr>
          <w:rFonts w:hint="eastAsia" w:ascii="仿宋" w:hAnsi="仿宋" w:eastAsia="仿宋" w:cs="仿宋"/>
          <w:color w:val="FF0000"/>
          <w:sz w:val="24"/>
          <w:szCs w:val="24"/>
          <w:highlight w:val="none"/>
          <w:lang w:val="en-US" w:eastAsia="zh-CN"/>
        </w:rPr>
        <w:t>4</w:t>
      </w:r>
      <w:r>
        <w:rPr>
          <w:rFonts w:hint="eastAsia" w:ascii="仿宋" w:hAnsi="仿宋" w:eastAsia="仿宋" w:cs="仿宋"/>
          <w:color w:val="FF0000"/>
          <w:sz w:val="24"/>
          <w:szCs w:val="24"/>
          <w:highlight w:val="none"/>
        </w:rPr>
        <w:t>月</w:t>
      </w:r>
      <w:r>
        <w:rPr>
          <w:rFonts w:hint="eastAsia" w:ascii="仿宋" w:hAnsi="仿宋" w:eastAsia="仿宋" w:cs="仿宋"/>
          <w:color w:val="FF0000"/>
          <w:sz w:val="24"/>
          <w:szCs w:val="24"/>
          <w:highlight w:val="none"/>
          <w:lang w:val="en-US" w:eastAsia="zh-CN"/>
        </w:rPr>
        <w:t>17</w:t>
      </w:r>
      <w:r>
        <w:rPr>
          <w:rFonts w:hint="eastAsia" w:ascii="仿宋" w:hAnsi="仿宋" w:eastAsia="仿宋" w:cs="仿宋"/>
          <w:color w:val="FF0000"/>
          <w:sz w:val="24"/>
          <w:szCs w:val="24"/>
          <w:highlight w:val="none"/>
        </w:rPr>
        <w:t>日</w:t>
      </w:r>
      <w:r>
        <w:rPr>
          <w:rFonts w:hint="eastAsia" w:ascii="仿宋" w:hAnsi="仿宋" w:eastAsia="仿宋" w:cs="仿宋"/>
          <w:color w:val="FF0000"/>
          <w:sz w:val="24"/>
          <w:szCs w:val="24"/>
          <w:highlight w:val="none"/>
          <w:lang w:val="en-US" w:eastAsia="zh-CN"/>
        </w:rPr>
        <w:t>9</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0</w:t>
      </w:r>
      <w:r>
        <w:rPr>
          <w:rFonts w:hint="eastAsia" w:ascii="仿宋" w:hAnsi="仿宋" w:eastAsia="仿宋" w:cs="仿宋"/>
          <w:color w:val="FF0000"/>
          <w:sz w:val="24"/>
          <w:szCs w:val="24"/>
          <w:highlight w:val="none"/>
        </w:rPr>
        <w:t>0</w:t>
      </w:r>
      <w:r>
        <w:rPr>
          <w:rFonts w:hint="eastAsia" w:ascii="仿宋" w:hAnsi="仿宋" w:eastAsia="仿宋" w:cs="仿宋"/>
          <w:bCs/>
          <w:sz w:val="24"/>
          <w:lang w:val="en-US" w:eastAsia="zh-CN"/>
        </w:rPr>
        <w:t>（北京时间）。</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w:t>
      </w:r>
      <w:r>
        <w:rPr>
          <w:rFonts w:hint="eastAsia" w:ascii="仿宋" w:hAnsi="仿宋" w:eastAsia="仿宋" w:cs="仿宋"/>
          <w:bCs/>
          <w:sz w:val="24"/>
          <w:szCs w:val="24"/>
        </w:rPr>
        <w:t>生产管控中心</w:t>
      </w:r>
      <w:r>
        <w:rPr>
          <w:rFonts w:hint="eastAsia" w:ascii="仿宋" w:hAnsi="仿宋" w:eastAsia="仿宋" w:cs="仿宋"/>
          <w:bCs/>
          <w:sz w:val="24"/>
          <w:szCs w:val="24"/>
          <w:lang w:eastAsia="zh-CN"/>
        </w:rPr>
        <w:t>生产技术（矿管）办公室矿山</w:t>
      </w:r>
      <w:r>
        <w:rPr>
          <w:rFonts w:hint="eastAsia" w:ascii="仿宋" w:hAnsi="仿宋" w:eastAsia="仿宋" w:cs="仿宋"/>
          <w:bCs/>
          <w:sz w:val="24"/>
          <w:szCs w:val="24"/>
        </w:rPr>
        <w:t>会议室</w:t>
      </w:r>
      <w:r>
        <w:rPr>
          <w:rFonts w:hint="eastAsia" w:ascii="仿宋" w:hAnsi="仿宋" w:eastAsia="仿宋" w:cs="仿宋"/>
          <w:bCs/>
          <w:sz w:val="24"/>
          <w:lang w:val="en-US" w:eastAsia="zh-CN"/>
        </w:rPr>
        <w:t>（中州铝业办公楼西保卫部三楼）</w:t>
      </w:r>
      <w:bookmarkStart w:id="14" w:name="_GoBack"/>
      <w:bookmarkEnd w:id="14"/>
    </w:p>
    <w:p>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spacing w:line="440" w:lineRule="exact"/>
        <w:rPr>
          <w:rFonts w:hint="eastAsia" w:ascii="仿宋" w:hAnsi="仿宋" w:eastAsia="仿宋" w:cs="仿宋"/>
          <w:b/>
          <w:bCs w:val="0"/>
          <w:sz w:val="28"/>
          <w:szCs w:val="28"/>
          <w:lang w:val="en-US" w:eastAsia="zh-CN"/>
        </w:rPr>
      </w:pPr>
      <w:bookmarkStart w:id="9" w:name="_Toc518044997"/>
      <w:bookmarkStart w:id="10" w:name="_Toc3201947"/>
      <w:bookmarkStart w:id="11" w:name="_Toc517804011"/>
      <w:bookmarkStart w:id="12" w:name="_Toc22632"/>
      <w:r>
        <w:rPr>
          <w:rFonts w:hint="eastAsia" w:ascii="仿宋" w:hAnsi="仿宋" w:eastAsia="仿宋" w:cs="仿宋"/>
          <w:b/>
          <w:bCs w:val="0"/>
          <w:sz w:val="28"/>
          <w:szCs w:val="28"/>
          <w:lang w:val="en-US" w:eastAsia="zh-CN"/>
        </w:rPr>
        <w:t>8联系方式</w:t>
      </w:r>
      <w:bookmarkEnd w:id="9"/>
      <w:bookmarkEnd w:id="10"/>
      <w:bookmarkEnd w:id="11"/>
      <w:bookmarkEnd w:id="12"/>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27A3611"/>
    <w:rsid w:val="031C6264"/>
    <w:rsid w:val="037B371D"/>
    <w:rsid w:val="037D6B45"/>
    <w:rsid w:val="0393643C"/>
    <w:rsid w:val="03AA4003"/>
    <w:rsid w:val="044E0E32"/>
    <w:rsid w:val="04C4495A"/>
    <w:rsid w:val="05880374"/>
    <w:rsid w:val="05C532C6"/>
    <w:rsid w:val="065E79C1"/>
    <w:rsid w:val="06EC048E"/>
    <w:rsid w:val="08164F8D"/>
    <w:rsid w:val="0AA27488"/>
    <w:rsid w:val="0B094A63"/>
    <w:rsid w:val="0B2F3A13"/>
    <w:rsid w:val="0C880C59"/>
    <w:rsid w:val="0C9475FE"/>
    <w:rsid w:val="0D7F205C"/>
    <w:rsid w:val="0E1F739B"/>
    <w:rsid w:val="0EEC1B28"/>
    <w:rsid w:val="0F3D3D81"/>
    <w:rsid w:val="10D73F5D"/>
    <w:rsid w:val="11C10E95"/>
    <w:rsid w:val="11DC7A7D"/>
    <w:rsid w:val="122D02D9"/>
    <w:rsid w:val="12451511"/>
    <w:rsid w:val="12FB03D7"/>
    <w:rsid w:val="13F63820"/>
    <w:rsid w:val="142859FB"/>
    <w:rsid w:val="144E2788"/>
    <w:rsid w:val="1464310E"/>
    <w:rsid w:val="14C667C2"/>
    <w:rsid w:val="163065E9"/>
    <w:rsid w:val="165B2217"/>
    <w:rsid w:val="16677B31"/>
    <w:rsid w:val="16D43419"/>
    <w:rsid w:val="171B1048"/>
    <w:rsid w:val="17EC6540"/>
    <w:rsid w:val="190C7CE1"/>
    <w:rsid w:val="19D11E91"/>
    <w:rsid w:val="1AC92B69"/>
    <w:rsid w:val="1B2D3AE4"/>
    <w:rsid w:val="1CCC4B92"/>
    <w:rsid w:val="1D623594"/>
    <w:rsid w:val="20B53F66"/>
    <w:rsid w:val="20D0142F"/>
    <w:rsid w:val="21AA7866"/>
    <w:rsid w:val="21AF0D0A"/>
    <w:rsid w:val="23720241"/>
    <w:rsid w:val="24A563F4"/>
    <w:rsid w:val="24B13AD7"/>
    <w:rsid w:val="28A714A1"/>
    <w:rsid w:val="29600B3C"/>
    <w:rsid w:val="297840D8"/>
    <w:rsid w:val="2A3C3357"/>
    <w:rsid w:val="2C0B7693"/>
    <w:rsid w:val="2C43774A"/>
    <w:rsid w:val="2D1D4C6D"/>
    <w:rsid w:val="2D67693D"/>
    <w:rsid w:val="2DEC690F"/>
    <w:rsid w:val="2EDD7488"/>
    <w:rsid w:val="30E958BB"/>
    <w:rsid w:val="31B86A3F"/>
    <w:rsid w:val="31D8306E"/>
    <w:rsid w:val="32285F6F"/>
    <w:rsid w:val="339064C2"/>
    <w:rsid w:val="33BC290D"/>
    <w:rsid w:val="346902C6"/>
    <w:rsid w:val="34E40FCA"/>
    <w:rsid w:val="35102E7B"/>
    <w:rsid w:val="351729F7"/>
    <w:rsid w:val="37C07F75"/>
    <w:rsid w:val="38F4304F"/>
    <w:rsid w:val="38F73281"/>
    <w:rsid w:val="3AAC3BE1"/>
    <w:rsid w:val="3AE96BE3"/>
    <w:rsid w:val="3C3E6CFB"/>
    <w:rsid w:val="3C6A5B02"/>
    <w:rsid w:val="3E0E49C6"/>
    <w:rsid w:val="3FC30CA2"/>
    <w:rsid w:val="3FE43E1D"/>
    <w:rsid w:val="401A783F"/>
    <w:rsid w:val="406805AA"/>
    <w:rsid w:val="411C2913"/>
    <w:rsid w:val="43E02B4D"/>
    <w:rsid w:val="44590819"/>
    <w:rsid w:val="446724B7"/>
    <w:rsid w:val="45476DEF"/>
    <w:rsid w:val="45C368D4"/>
    <w:rsid w:val="464E0242"/>
    <w:rsid w:val="465B295F"/>
    <w:rsid w:val="46CE4098"/>
    <w:rsid w:val="490F1FF3"/>
    <w:rsid w:val="49695393"/>
    <w:rsid w:val="497955D6"/>
    <w:rsid w:val="49E07403"/>
    <w:rsid w:val="4B4843E2"/>
    <w:rsid w:val="4C27758A"/>
    <w:rsid w:val="4CFD651E"/>
    <w:rsid w:val="4EDB288F"/>
    <w:rsid w:val="51735001"/>
    <w:rsid w:val="523C1897"/>
    <w:rsid w:val="52F83A10"/>
    <w:rsid w:val="538C00C5"/>
    <w:rsid w:val="550A42E0"/>
    <w:rsid w:val="56140091"/>
    <w:rsid w:val="571748E3"/>
    <w:rsid w:val="581D594B"/>
    <w:rsid w:val="59395101"/>
    <w:rsid w:val="5AFD146D"/>
    <w:rsid w:val="5B5434A8"/>
    <w:rsid w:val="5B5E287E"/>
    <w:rsid w:val="5BF154A0"/>
    <w:rsid w:val="5C0F4FE4"/>
    <w:rsid w:val="5D6F11AF"/>
    <w:rsid w:val="5DA3376E"/>
    <w:rsid w:val="5E863CA9"/>
    <w:rsid w:val="5EC155FD"/>
    <w:rsid w:val="5F7F56ED"/>
    <w:rsid w:val="603248F4"/>
    <w:rsid w:val="62272952"/>
    <w:rsid w:val="62DF10A6"/>
    <w:rsid w:val="63875FB1"/>
    <w:rsid w:val="64D50E4D"/>
    <w:rsid w:val="651E6BDA"/>
    <w:rsid w:val="652D5C58"/>
    <w:rsid w:val="65D0673C"/>
    <w:rsid w:val="662D3262"/>
    <w:rsid w:val="66636F9A"/>
    <w:rsid w:val="66CD3A0C"/>
    <w:rsid w:val="68103152"/>
    <w:rsid w:val="68554ED4"/>
    <w:rsid w:val="69856C60"/>
    <w:rsid w:val="6A627023"/>
    <w:rsid w:val="6B3E73F7"/>
    <w:rsid w:val="6BAD0EBB"/>
    <w:rsid w:val="6C092392"/>
    <w:rsid w:val="6C4D6722"/>
    <w:rsid w:val="6D0D7C60"/>
    <w:rsid w:val="6D8242FF"/>
    <w:rsid w:val="6E9F6FDD"/>
    <w:rsid w:val="6EA07640"/>
    <w:rsid w:val="6EC711C7"/>
    <w:rsid w:val="6EFB29F9"/>
    <w:rsid w:val="6F060E0B"/>
    <w:rsid w:val="6F273B31"/>
    <w:rsid w:val="707814EF"/>
    <w:rsid w:val="70AD26B9"/>
    <w:rsid w:val="71E52089"/>
    <w:rsid w:val="71ED7056"/>
    <w:rsid w:val="728F1117"/>
    <w:rsid w:val="732C01D1"/>
    <w:rsid w:val="73DD17AE"/>
    <w:rsid w:val="73E01C41"/>
    <w:rsid w:val="740578E3"/>
    <w:rsid w:val="74624D35"/>
    <w:rsid w:val="75181898"/>
    <w:rsid w:val="7568697B"/>
    <w:rsid w:val="77720653"/>
    <w:rsid w:val="77E572A5"/>
    <w:rsid w:val="77F55EC0"/>
    <w:rsid w:val="780D4FB8"/>
    <w:rsid w:val="78355FAD"/>
    <w:rsid w:val="79246A5D"/>
    <w:rsid w:val="7A22256E"/>
    <w:rsid w:val="7A2A7DCB"/>
    <w:rsid w:val="7B564EC8"/>
    <w:rsid w:val="7B747B10"/>
    <w:rsid w:val="7B9A4DB4"/>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宋体" w:eastAsia="黑体"/>
      <w:kern w:val="44"/>
      <w:sz w:val="30"/>
      <w:szCs w:val="44"/>
    </w:rPr>
  </w:style>
  <w:style w:type="paragraph" w:styleId="5">
    <w:name w:val="heading 2"/>
    <w:basedOn w:val="1"/>
    <w:next w:val="1"/>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widowControl w:val="0"/>
      <w:spacing w:after="120"/>
      <w:ind w:firstLine="420" w:firstLineChars="100"/>
      <w:jc w:val="both"/>
    </w:pPr>
    <w:rPr>
      <w:kern w:val="2"/>
      <w:sz w:val="21"/>
      <w:szCs w:val="24"/>
      <w:lang w:val="en-US" w:eastAsia="zh-CN" w:bidi="ar-SA"/>
    </w:rPr>
  </w:style>
  <w:style w:type="paragraph" w:styleId="3">
    <w:name w:val="Body Text"/>
    <w:basedOn w:val="1"/>
    <w:next w:val="1"/>
    <w:qFormat/>
    <w:uiPriority w:val="0"/>
    <w:pPr>
      <w:spacing w:after="120"/>
    </w:pPr>
  </w:style>
  <w:style w:type="paragraph" w:styleId="6">
    <w:name w:val="Normal Indent"/>
    <w:basedOn w:val="1"/>
    <w:qFormat/>
    <w:uiPriority w:val="0"/>
    <w:pPr>
      <w:spacing w:line="360" w:lineRule="auto"/>
      <w:ind w:firstLine="200" w:firstLineChars="200"/>
    </w:pPr>
    <w:rPr>
      <w:rFonts w:ascii="宋体" w:hAnsi="宋体"/>
      <w:sz w:val="24"/>
      <w:szCs w:val="20"/>
    </w:rPr>
  </w:style>
  <w:style w:type="paragraph" w:styleId="7">
    <w:name w:val="annotation text"/>
    <w:basedOn w:val="1"/>
    <w:qFormat/>
    <w:uiPriority w:val="0"/>
    <w:pPr>
      <w:jc w:val="left"/>
    </w:pPr>
    <w:rPr>
      <w:rFonts w:ascii="Calibri" w:hAnsi="Calibri" w:eastAsia="宋体" w:cs="Times New Roman"/>
    </w:rPr>
  </w:style>
  <w:style w:type="paragraph" w:styleId="8">
    <w:name w:val="Body Text Indent"/>
    <w:basedOn w:val="1"/>
    <w:next w:val="6"/>
    <w:qFormat/>
    <w:uiPriority w:val="0"/>
    <w:pPr>
      <w:widowControl/>
      <w:spacing w:after="120" w:afterAutospacing="0"/>
      <w:ind w:left="420" w:leftChars="200"/>
      <w:jc w:val="left"/>
    </w:pPr>
    <w:rPr>
      <w:kern w:val="0"/>
      <w:sz w:val="20"/>
      <w:szCs w:val="20"/>
      <w:lang w:val="en-GB" w:eastAsia="en-US"/>
    </w:rPr>
  </w:style>
  <w:style w:type="paragraph" w:styleId="9">
    <w:name w:val="Body Text 2"/>
    <w:basedOn w:val="1"/>
    <w:next w:val="3"/>
    <w:qFormat/>
    <w:uiPriority w:val="0"/>
    <w:pPr>
      <w:spacing w:after="120" w:line="480" w:lineRule="auto"/>
    </w:pPr>
  </w:style>
  <w:style w:type="paragraph" w:styleId="10">
    <w:name w:val="Body Text First Indent 2"/>
    <w:basedOn w:val="8"/>
    <w:unhideWhenUsed/>
    <w:qFormat/>
    <w:uiPriority w:val="99"/>
    <w:pPr>
      <w:spacing w:before="100" w:beforeAutospacing="1"/>
      <w:ind w:left="200" w:firstLine="420"/>
    </w:pPr>
  </w:style>
  <w:style w:type="character" w:customStyle="1" w:styleId="13">
    <w:name w:val="font12"/>
    <w:basedOn w:val="12"/>
    <w:qFormat/>
    <w:uiPriority w:val="0"/>
    <w:rPr>
      <w:rFonts w:hint="eastAsia" w:ascii="仿宋" w:hAnsi="仿宋" w:eastAsia="仿宋" w:cs="仿宋"/>
      <w:b/>
      <w:bCs/>
      <w:color w:val="000000"/>
      <w:sz w:val="24"/>
      <w:szCs w:val="24"/>
      <w:u w:val="none"/>
    </w:rPr>
  </w:style>
  <w:style w:type="character" w:customStyle="1" w:styleId="14">
    <w:name w:val="font111"/>
    <w:basedOn w:val="12"/>
    <w:qFormat/>
    <w:uiPriority w:val="0"/>
    <w:rPr>
      <w:rFonts w:hint="eastAsia" w:ascii="宋体" w:hAnsi="宋体" w:eastAsia="宋体" w:cs="宋体"/>
      <w:color w:val="000000"/>
      <w:sz w:val="22"/>
      <w:szCs w:val="22"/>
      <w:u w:val="none"/>
    </w:rPr>
  </w:style>
  <w:style w:type="character" w:customStyle="1" w:styleId="15">
    <w:name w:val="font122"/>
    <w:basedOn w:val="12"/>
    <w:qFormat/>
    <w:uiPriority w:val="0"/>
    <w:rPr>
      <w:rFonts w:hint="eastAsia" w:ascii="仿宋" w:hAnsi="仿宋" w:eastAsia="仿宋" w:cs="仿宋"/>
      <w:color w:val="000000"/>
      <w:sz w:val="24"/>
      <w:szCs w:val="24"/>
      <w:u w:val="none"/>
    </w:rPr>
  </w:style>
  <w:style w:type="character" w:customStyle="1" w:styleId="16">
    <w:name w:val="font221"/>
    <w:basedOn w:val="12"/>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1997</Words>
  <Characters>2333</Characters>
  <Lines>0</Lines>
  <Paragraphs>0</Paragraphs>
  <TotalTime>1</TotalTime>
  <ScaleCrop>false</ScaleCrop>
  <LinksUpToDate>false</LinksUpToDate>
  <CharactersWithSpaces>2365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Administrator</cp:lastModifiedBy>
  <dcterms:modified xsi:type="dcterms:W3CDTF">2026-04-14T09:39:18Z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E2998739EB744DF798B4578CEF13DF38_13</vt:lpwstr>
  </property>
</Properties>
</file>