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left="479" w:leftChars="228" w:firstLine="0" w:firstLineChars="0"/>
        <w:jc w:val="center"/>
        <w:textAlignment w:val="baseline"/>
        <w:rPr>
          <w:rFonts w:hint="eastAsia" w:ascii="黑体" w:hAnsi="黑体" w:eastAsia="黑体" w:cs="黑体"/>
          <w:bCs/>
          <w:sz w:val="36"/>
          <w:szCs w:val="36"/>
        </w:rPr>
      </w:pPr>
      <w:r>
        <w:rPr>
          <w:rFonts w:hint="eastAsia" w:ascii="黑体" w:hAnsi="黑体" w:eastAsia="黑体" w:cs="黑体"/>
          <w:bCs/>
          <w:sz w:val="36"/>
          <w:szCs w:val="36"/>
          <w:lang w:val="en-US" w:eastAsia="zh-CN"/>
        </w:rPr>
        <w:t>中铝中州矿业有限公司车辆租赁项目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采购编号：CG-ZZ-202604-SCGK-SCJSK-00</w:t>
      </w:r>
      <w:r>
        <w:rPr>
          <w:rFonts w:hint="eastAsia" w:ascii="黑体" w:hAnsi="黑体" w:eastAsia="黑体" w:cs="黑体"/>
          <w:bCs/>
          <w:sz w:val="36"/>
          <w:szCs w:val="36"/>
          <w:lang w:val="en-US" w:eastAsia="zh-CN"/>
        </w:rPr>
        <w:t>3</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中铝中州矿业有限公司车辆租赁项目已具备采购条件，资金自筹且已落实。采购人为：中铝中州铝业有限公司生产管控中心。采购人对该项目进行谈判采购，报价方式为现场报价。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2.1项目名称：中铝中州矿业有限公司车辆租赁项目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2.2项目类型：车辆租赁</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根据工作需要，中铝中州矿业有限公司拟面向社会公开招租五辆全新机动车辆，租期均为三年,要求出租方包含常规保养及车辆全险。租赁车型基本要求：5门5座四驱版本SUV、品牌不限、驱动方式为汽油、插电式混动或增程式、排量≤2.0(含增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2.4项目地点：许昌，平顶山，下冶，三门峡</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2.5租赁车型基本要求：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（1）5门5座四驱版本SUV、品牌不限、驱动方式为汽油、插电式混动或增程式、排量≤2.0(含增压）,或相当于方程豹钛7、丰田荣放、本田CRV、哈佛猛龙等车型，参数达标即可，品牌不限。</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（2）租赁数量：5辆全新车辆。</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（3）服务商要求：具备合法资质，需提供全新车辆且车辆年检合格、保险齐全（交强险、第三者责任险、驾乘险等），混动车型需提供充电桩安装、基础维保与应急响应。</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3、使用范围：仅限中州矿业矿区作业、公务出行、项目巡查及应急保障，严禁私用与违规运营。</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4、工期：自合同签订之日起3年，期满根据生产需求及租金评估续租。</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1、中华人民共和国注册登记的；</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2、具备履行合同的能力，包括资质状况（工商营业执照具有汽车租赁资质），专业、技术资格和能力，资金、设备和其他物质设施状况，管理能力，经验、信誉和相应的从业人员；</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3、报价人没有处于被责令停业，报价资格没有被取消，财产没有被接管、冻结、破产状态；在最近三年内没有骗取中选和严重违约及重大质量问题;</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信誉要求：报价人在全国法院失信被执行人名单信息公布与查询网(shixin.court.gov.cn)和国家发展改革委信用中国(www.creditchina.gov.cn）网站上未被列入失信被执行人、重大税收违法案件当事人名单；未列入中铝集团有限公司承包商黑名单。</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5、具备法律、行政法规规定的其他资格条件。</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517804008"/>
      <w:bookmarkStart w:id="1" w:name="_Toc518044994"/>
      <w:bookmarkStart w:id="2" w:name="_Toc3201944"/>
      <w:bookmarkStart w:id="3" w:name="_Toc27489"/>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汇款备注中，须注明“中铝中州矿业有限公司车辆租赁项目文件费”。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购买采购文件时间：自公告之日起至2026年4月20日20:30（北京时间）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w:t>
      </w:r>
      <w:bookmarkStart w:id="14" w:name="_GoBack"/>
      <w:bookmarkEnd w:id="14"/>
      <w:r>
        <w:rPr>
          <w:rFonts w:hint="eastAsia" w:ascii="仿宋" w:hAnsi="仿宋" w:eastAsia="仿宋" w:cs="仿宋"/>
          <w:bCs/>
          <w:sz w:val="24"/>
          <w:lang w:val="en-US" w:eastAsia="zh-CN"/>
        </w:rPr>
        <w:t>）、开户许可证、法人身份证（正反面）、文件费回执等传送至联系人后方可取得采购文件（电子版）。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9267"/>
      <w:bookmarkStart w:id="5" w:name="_Toc3201945"/>
      <w:bookmarkStart w:id="6" w:name="_Toc518044995"/>
      <w:bookmarkStart w:id="7" w:name="_Toc517804009"/>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w:t>
      </w:r>
      <w:r>
        <w:rPr>
          <w:rFonts w:hint="eastAsia" w:ascii="仿宋" w:hAnsi="仿宋" w:eastAsia="仿宋" w:cs="仿宋"/>
          <w:color w:val="FF0000"/>
          <w:sz w:val="24"/>
          <w:szCs w:val="24"/>
          <w:highlight w:val="none"/>
          <w:lang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4</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21</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0</w:t>
      </w:r>
      <w:r>
        <w:rPr>
          <w:rFonts w:hint="eastAsia" w:ascii="仿宋" w:hAnsi="仿宋" w:eastAsia="仿宋" w:cs="仿宋"/>
          <w:color w:val="FF0000"/>
          <w:sz w:val="24"/>
          <w:szCs w:val="24"/>
          <w:highlight w:val="none"/>
        </w:rPr>
        <w:t>0</w:t>
      </w:r>
      <w:r>
        <w:rPr>
          <w:rFonts w:hint="eastAsia" w:ascii="仿宋" w:hAnsi="仿宋" w:eastAsia="仿宋" w:cs="仿宋"/>
          <w:bCs/>
          <w:sz w:val="24"/>
          <w:lang w:val="en-US" w:eastAsia="zh-CN"/>
        </w:rPr>
        <w:t>（北京时间）。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w:t>
      </w:r>
      <w:r>
        <w:rPr>
          <w:rFonts w:hint="eastAsia" w:ascii="仿宋" w:hAnsi="仿宋" w:eastAsia="仿宋" w:cs="仿宋"/>
          <w:bCs/>
          <w:sz w:val="24"/>
          <w:szCs w:val="24"/>
        </w:rPr>
        <w:t>生产管控中心</w:t>
      </w:r>
      <w:r>
        <w:rPr>
          <w:rFonts w:hint="eastAsia" w:ascii="仿宋" w:hAnsi="仿宋" w:eastAsia="仿宋" w:cs="仿宋"/>
          <w:bCs/>
          <w:sz w:val="24"/>
          <w:szCs w:val="24"/>
          <w:lang w:eastAsia="zh-CN"/>
        </w:rPr>
        <w:t>生产技术（矿管）办公室矿山</w:t>
      </w:r>
      <w:r>
        <w:rPr>
          <w:rFonts w:hint="eastAsia" w:ascii="仿宋" w:hAnsi="仿宋" w:eastAsia="仿宋" w:cs="仿宋"/>
          <w:bCs/>
          <w:sz w:val="24"/>
          <w:szCs w:val="24"/>
        </w:rPr>
        <w:t>会议室</w:t>
      </w:r>
      <w:r>
        <w:rPr>
          <w:rFonts w:hint="eastAsia" w:ascii="仿宋" w:hAnsi="仿宋" w:eastAsia="仿宋" w:cs="仿宋"/>
          <w:bCs/>
          <w:sz w:val="24"/>
          <w:lang w:val="en-US" w:eastAsia="zh-CN"/>
        </w:rPr>
        <w:t>（中州铝业办公楼西保卫部三楼）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22632"/>
      <w:bookmarkStart w:id="10" w:name="_Toc518044997"/>
      <w:bookmarkStart w:id="11" w:name="_Toc3201947"/>
      <w:bookmarkStart w:id="12" w:name="_Toc517804011"/>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27A3611"/>
    <w:rsid w:val="031C6264"/>
    <w:rsid w:val="037B371D"/>
    <w:rsid w:val="037D6B45"/>
    <w:rsid w:val="0393643C"/>
    <w:rsid w:val="03AA4003"/>
    <w:rsid w:val="044E0E32"/>
    <w:rsid w:val="04C4495A"/>
    <w:rsid w:val="05880374"/>
    <w:rsid w:val="05C532C6"/>
    <w:rsid w:val="065E79C1"/>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DEC690F"/>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BCF163D"/>
    <w:rsid w:val="4C27758A"/>
    <w:rsid w:val="4CFD651E"/>
    <w:rsid w:val="4EDB288F"/>
    <w:rsid w:val="51735001"/>
    <w:rsid w:val="523C1897"/>
    <w:rsid w:val="52F83A10"/>
    <w:rsid w:val="538C00C5"/>
    <w:rsid w:val="550A42E0"/>
    <w:rsid w:val="56140091"/>
    <w:rsid w:val="56210A79"/>
    <w:rsid w:val="571748E3"/>
    <w:rsid w:val="581D594B"/>
    <w:rsid w:val="59395101"/>
    <w:rsid w:val="5AFD146D"/>
    <w:rsid w:val="5B5434A8"/>
    <w:rsid w:val="5B5E287E"/>
    <w:rsid w:val="5BF154A0"/>
    <w:rsid w:val="5C0F4FE4"/>
    <w:rsid w:val="5D6F11AF"/>
    <w:rsid w:val="5DA3376E"/>
    <w:rsid w:val="5E863CA9"/>
    <w:rsid w:val="5EC155FD"/>
    <w:rsid w:val="5F7F56ED"/>
    <w:rsid w:val="603248F4"/>
    <w:rsid w:val="62272952"/>
    <w:rsid w:val="62DF10A6"/>
    <w:rsid w:val="63875FB1"/>
    <w:rsid w:val="6427311F"/>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52089"/>
    <w:rsid w:val="71ED7056"/>
    <w:rsid w:val="728F1117"/>
    <w:rsid w:val="732C01D1"/>
    <w:rsid w:val="73DD17AE"/>
    <w:rsid w:val="73E01C41"/>
    <w:rsid w:val="740578E3"/>
    <w:rsid w:val="74624D35"/>
    <w:rsid w:val="75181898"/>
    <w:rsid w:val="7568697B"/>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4</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2026-04-16T08:44:12Z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