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0" w:name="_Toc501284274"/>
      <w:bookmarkStart w:id="1" w:name="_Toc61862103"/>
      <w:r>
        <w:rPr>
          <w:rFonts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eastAsia="zh-CN"/>
        </w:rPr>
        <w:t>公告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2" w:name="OLE_LINK1"/>
      <w:bookmarkStart w:id="3" w:name="OLE_LINK2"/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bookmarkEnd w:id="2"/>
      <w:bookmarkEnd w:id="3"/>
      <w:r>
        <w:rPr>
          <w:rFonts w:hint="eastAsia" w:ascii="宋体" w:hAnsi="宋体" w:cs="宋体"/>
          <w:color w:val="000000"/>
          <w:kern w:val="0"/>
          <w:sz w:val="28"/>
          <w:szCs w:val="28"/>
        </w:rPr>
        <w:t>装备保障中心（以下简称采购单位）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中铝中州矿业有限公司委托，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拟对中州矿业2026年段雷矿在用设备设施检测服务进行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供应商参加。</w:t>
      </w:r>
    </w:p>
    <w:p>
      <w:pPr>
        <w:spacing w:line="480" w:lineRule="exact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1、采购编号：CG-ZZ-20260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480" w:lineRule="exact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2、采购名称、内容：  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中州矿业2026年段雷矿在用设备设施检测服务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6台提升机检测、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16台空压机检测、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24台井下水泵检测、</w:t>
            </w:r>
          </w:p>
          <w:p>
            <w:pPr>
              <w:adjustRightInd w:val="0"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8台主通风机检测。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60天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中铝中州矿业有限公司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生产服务的供应商。需提供企业营业执照、税务登记证、组织机构代码证或三证合一新证，银行开户证明，参加采购报价活动前三年之内，在经营活动中没有重大违法记录。未被列入国家失信被执行人名单及中铝集团（公司）黑名单库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，安全生产检测检验资质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4）供应商用工年龄应当年满18周岁且男员工不超过63周岁，女员工不超过55岁，有双重劳动关系的人员不可使用；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7）供应商具有此类服务的专业人员；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参加报价人员身体健康，无疾病；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5、索取采购文件时间：2026年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6、现场勘查时间：2026年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7、报价文件递交截止时间：202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(北京时间)。逾期递交的报价文件不再受理。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8、采购时间：202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</w:t>
      </w:r>
      <w:bookmarkStart w:id="4" w:name="_GoBack"/>
      <w:bookmarkEnd w:id="4"/>
      <w:r>
        <w:rPr>
          <w:rFonts w:hint="eastAsia" w:ascii="宋体" w:hAnsi="宋体" w:cs="宋体"/>
          <w:kern w:val="0"/>
          <w:sz w:val="28"/>
          <w:szCs w:val="28"/>
          <w:highlight w:val="none"/>
        </w:rPr>
        <w:t>北京时间)。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9、采购地点：中铝中州铝业有限公司装备保障中心。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10、采购人：中铝中州铝业有限公司装备保障中心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电话：0391-3505166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11、发布媒体：我公司仅在中铝中州铝业有限公司网站（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D7AE2"/>
    <w:rsid w:val="280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2026-04-17T00:07:00Z</dcterms:created>
  <dc:creator>Administrator</dc:creator>
  <cp:lastModifiedBy>Administrator</cp:lastModifiedBy>
  <dcterms:modified xsi:type="dcterms:W3CDTF">2026-04-17T00:10:35Z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50E78092EEA848B8B8AD182381116C74_12</vt:lpwstr>
  </property>
</Properties>
</file>