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bookmarkStart w:id="0" w:name="_Toc61862103"/>
      <w:bookmarkStart w:id="1" w:name="_Toc501284274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</w:rPr>
        <w:t>采购</w:t>
      </w:r>
      <w:bookmarkEnd w:id="0"/>
      <w:bookmarkEnd w:id="1"/>
      <w:r>
        <w:rPr>
          <w:rFonts w:hint="eastAsia" w:asciiTheme="minorEastAsia" w:hAnsiTheme="minorEastAsia" w:eastAsiaTheme="minorEastAsia"/>
          <w:bCs w:val="0"/>
          <w:color w:val="000000"/>
          <w:kern w:val="2"/>
          <w:sz w:val="28"/>
          <w:szCs w:val="28"/>
          <w:lang w:eastAsia="zh-CN"/>
        </w:rPr>
        <w:t>公告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（以下简称采购单位）拟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质检化验中心(技术中心)岛津荧光仪拆解移机、安装调试等服务对岛津企业管理(中国)有限公司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直接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采购，项目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说明如下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。</w:t>
      </w:r>
    </w:p>
    <w:p>
      <w:pPr>
        <w:numPr>
          <w:ilvl w:val="0"/>
          <w:numId w:val="1"/>
        </w:numPr>
        <w:spacing w:line="480" w:lineRule="exact"/>
        <w:rPr>
          <w:rFonts w:hint="default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采购编号：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CG-ZZ-202605-ZBBZ-ZBGL-001</w:t>
      </w:r>
    </w:p>
    <w:p>
      <w:pPr>
        <w:pStyle w:val="5"/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2、采购名称、内容：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512"/>
        <w:gridCol w:w="2650"/>
        <w:gridCol w:w="913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期限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质检化验中心(技术中心)岛津荧光仪拆解移机、安装调试等服务 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将原磨浮化验楼的岛津MXF-2400荧光仪移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至分析二区域化验楼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20日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中铝中州铝业有限公司</w:t>
            </w:r>
          </w:p>
        </w:tc>
      </w:tr>
    </w:tbl>
    <w:p>
      <w:pPr>
        <w:tabs>
          <w:tab w:val="left" w:pos="720"/>
        </w:tabs>
        <w:spacing w:line="360" w:lineRule="auto"/>
        <w:rPr>
          <w:rFonts w:hint="default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交付地点：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中铝中州铝业有限公司</w:t>
      </w:r>
    </w:p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3、资金来源：企业自有资金。</w:t>
      </w:r>
    </w:p>
    <w:p>
      <w:pPr>
        <w:widowControl/>
        <w:shd w:val="clear" w:color="auto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4、承包商资格必须符合下列要求：</w:t>
      </w:r>
    </w:p>
    <w:p>
      <w:pPr>
        <w:pStyle w:val="5"/>
        <w:widowControl/>
        <w:numPr>
          <w:ilvl w:val="0"/>
          <w:numId w:val="0"/>
        </w:numPr>
        <w:shd w:val="clear" w:color="auto"/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1）依法在中华人民共和国注册的、具有法人资格的有能力提供相关服务的供应商。需提供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统一社会信用代码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证、银行开户许可证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等相关资质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；</w:t>
      </w:r>
    </w:p>
    <w:p>
      <w:pPr>
        <w:widowControl/>
        <w:shd w:val="clear" w:color="auto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2）具有良好的商业信誉和健全的财务会计制度，提供最新年度的财务报表；</w:t>
      </w:r>
    </w:p>
    <w:p>
      <w:pPr>
        <w:widowControl/>
        <w:shd w:val="clear" w:color="auto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3）参加采购报价活动前三年之内，在经营活动中没有重大违法记录；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岁，有双重劳动关系的人员不可使用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禁止被列入国家失信被执行人名单或中铝集团（公司）黑名单库的服务商（施工方）参与采购活动。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如因服务商单方原因违约，导致与中州企业所签订合同无法正常履行的，三年内不得参与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我司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采购活动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）报价人为一般纳税人，具有开具增值税专用发票的能力；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）供应商具有此类型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务的业绩经历，提供合同及反馈意见；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）本项目不接受联合体报价；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）法律、行政法规规定的其他条件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6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14:00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ascii="宋体" w:hAnsi="宋体" w:cs="宋体"/>
          <w:kern w:val="0"/>
          <w:sz w:val="28"/>
          <w:szCs w:val="28"/>
          <w:highlight w:val="none"/>
        </w:rPr>
        <w:t>7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14:00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装备保障中心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装备保障中心。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default" w:ascii="宋体" w:hAnsi="宋体" w:cs="宋体"/>
          <w:color w:val="000000"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王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先生 </w:t>
      </w: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15036620681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1</w:t>
      </w:r>
      <w:r>
        <w:rPr>
          <w:rFonts w:ascii="宋体" w:hAnsi="宋体" w:cs="宋体"/>
          <w:color w:val="000000"/>
          <w:kern w:val="0"/>
          <w:sz w:val="28"/>
          <w:szCs w:val="28"/>
          <w:highlight w:val="none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、发布媒体：我公司仅在中铝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投诉举报部门：中铝中州铝业有限公司纪委工作部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D8975"/>
    <w:multiLevelType w:val="singleLevel"/>
    <w:tmpl w:val="41AD89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11605"/>
    <w:rsid w:val="66C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2026-05-08T00:35:00Z</dcterms:created>
  <dc:creator>Administrator</dc:creator>
  <cp:lastModifiedBy>Administrator</cp:lastModifiedBy>
  <dcterms:modified xsi:type="dcterms:W3CDTF">2026-05-08T00:42:14Z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968FF22931234274A339BC2A3A21DAAE_12</vt:lpwstr>
  </property>
</Properties>
</file>