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ind w:left="479" w:leftChars="228" w:firstLine="0" w:firstLineChars="0"/>
        <w:jc w:val="center"/>
        <w:textAlignment w:val="baseline"/>
        <w:rPr>
          <w:rFonts w:hint="eastAsia" w:ascii="黑体" w:hAnsi="黑体" w:eastAsia="黑体" w:cs="黑体"/>
          <w:bCs/>
          <w:sz w:val="36"/>
          <w:szCs w:val="36"/>
        </w:rPr>
      </w:pPr>
      <w:r>
        <w:rPr>
          <w:rFonts w:hint="eastAsia" w:ascii="黑体" w:hAnsi="黑体" w:eastAsia="黑体" w:cs="黑体"/>
          <w:bCs/>
          <w:sz w:val="36"/>
          <w:szCs w:val="36"/>
          <w:lang w:val="en-US" w:eastAsia="zh-CN"/>
        </w:rPr>
        <w:t>冯营石灰石矿地质环境保护与恢复治理勘查及设计（五期）项目</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b/>
          <w:bCs w:val="0"/>
          <w:color w:val="auto"/>
          <w:sz w:val="30"/>
          <w:szCs w:val="30"/>
          <w:highlight w:val="none"/>
          <w:lang w:val="en-US" w:eastAsia="zh-CN"/>
        </w:rPr>
        <w:t>CG-ZZ-202606-SCGK-SCJSK-001</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冯营石灰石矿地质环境保护与恢复治理工程勘查及设计（五期）项目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2.1项目名称：冯营石灰石矿地质环境保护与恢复治理工程勘查及设计（五期）项目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2.3项目概况：</w:t>
      </w:r>
      <w:r>
        <w:rPr>
          <w:rFonts w:hint="eastAsia" w:ascii="仿宋" w:hAnsi="仿宋" w:eastAsia="仿宋" w:cs="仿宋"/>
          <w:bCs/>
          <w:color w:val="auto"/>
          <w:sz w:val="24"/>
          <w:highlight w:val="none"/>
          <w:lang w:val="en-US" w:eastAsia="zh-CN"/>
        </w:rPr>
        <w:t>按照“边开采、边治理”要求以及河南省绿色矿山建设评价指标“矿区可绿化区域实现全覆盖，且无大面积表土裸露”规定，冯营石灰石矿a采区+160m以上终了平台以及a采区入口处需要进行复垦绿化，+160m平台布置排水沟</w:t>
      </w:r>
      <w:r>
        <w:rPr>
          <w:rFonts w:hint="eastAsia" w:ascii="仿宋" w:hAnsi="仿宋" w:eastAsia="仿宋" w:cs="仿宋"/>
          <w:bCs/>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2.4项目地点：</w:t>
      </w:r>
      <w:r>
        <w:rPr>
          <w:rFonts w:hint="eastAsia" w:ascii="仿宋" w:hAnsi="仿宋" w:eastAsia="仿宋" w:cs="仿宋"/>
          <w:bCs/>
          <w:color w:val="auto"/>
          <w:sz w:val="24"/>
          <w:highlight w:val="none"/>
          <w:lang w:val="en-US" w:eastAsia="zh-CN"/>
        </w:rPr>
        <w:t>河南省焦作市修武县</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2.5.1主要内容：</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default" w:ascii="仿宋" w:hAnsi="仿宋" w:eastAsia="仿宋" w:cs="仿宋"/>
          <w:bCs/>
          <w:sz w:val="24"/>
          <w:highlight w:val="none"/>
          <w:lang w:val="en-US" w:eastAsia="zh-CN"/>
        </w:rPr>
      </w:pPr>
      <w:r>
        <w:rPr>
          <w:rFonts w:hint="eastAsia" w:ascii="仿宋" w:hAnsi="仿宋" w:eastAsia="仿宋" w:cs="仿宋"/>
          <w:bCs/>
          <w:color w:val="auto"/>
          <w:sz w:val="24"/>
          <w:highlight w:val="none"/>
          <w:lang w:val="en-US" w:eastAsia="zh-CN"/>
        </w:rPr>
        <w:t>结合矿区隐蔽致灾因素普查报告，对矿区进行实地核查，完成相应治理方案的编制、修改，以及最终设计的提交</w:t>
      </w:r>
      <w:r>
        <w:rPr>
          <w:rFonts w:hint="eastAsia" w:ascii="仿宋" w:hAnsi="仿宋" w:eastAsia="仿宋" w:cs="仿宋"/>
          <w:bCs/>
          <w:color w:val="auto"/>
          <w:kern w:val="2"/>
          <w:sz w:val="24"/>
          <w:szCs w:val="24"/>
          <w:highlight w:val="none"/>
          <w:lang w:val="en-US" w:eastAsia="zh-CN" w:bidi="ar-SA"/>
        </w:rPr>
        <w:t>（报告文本需为word，pdf格式，图纸需为cad、mapgis版本）</w:t>
      </w:r>
      <w:r>
        <w:rPr>
          <w:rFonts w:hint="eastAsia" w:ascii="仿宋" w:hAnsi="仿宋" w:eastAsia="仿宋" w:cs="仿宋"/>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2.5.2质量要求：</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sz w:val="24"/>
          <w:highlight w:val="none"/>
          <w:lang w:val="en-US" w:eastAsia="zh-CN"/>
        </w:rPr>
        <w:t>2.5.</w:t>
      </w:r>
      <w:r>
        <w:rPr>
          <w:rFonts w:hint="eastAsia" w:ascii="仿宋" w:hAnsi="仿宋" w:eastAsia="仿宋" w:cs="仿宋"/>
          <w:bCs/>
          <w:color w:val="auto"/>
          <w:sz w:val="24"/>
          <w:highlight w:val="none"/>
        </w:rPr>
        <w:t>2.1</w:t>
      </w:r>
      <w:r>
        <w:rPr>
          <w:rFonts w:hint="eastAsia" w:ascii="仿宋" w:hAnsi="仿宋" w:eastAsia="仿宋" w:cs="仿宋"/>
          <w:bCs/>
          <w:color w:val="auto"/>
          <w:kern w:val="2"/>
          <w:sz w:val="24"/>
          <w:szCs w:val="24"/>
          <w:highlight w:val="none"/>
          <w:lang w:val="en-US" w:eastAsia="zh-CN" w:bidi="ar-SA"/>
        </w:rPr>
        <w:t>符合地灾类设计方案编制的相关要求，符合业主方要求。</w:t>
      </w:r>
    </w:p>
    <w:p>
      <w:pPr>
        <w:snapToGrid w:val="0"/>
        <w:spacing w:line="400" w:lineRule="exact"/>
        <w:ind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color w:val="auto"/>
          <w:kern w:val="2"/>
          <w:sz w:val="24"/>
          <w:szCs w:val="24"/>
          <w:highlight w:val="none"/>
          <w:lang w:val="en-US" w:eastAsia="zh-CN" w:bidi="ar-SA"/>
        </w:rPr>
        <w:t>2.5.2.2设计通过业主方的评审。</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2.7其他要</w:t>
      </w:r>
      <w:bookmarkStart w:id="14" w:name="_GoBack"/>
      <w:bookmarkEnd w:id="14"/>
      <w:r>
        <w:rPr>
          <w:rFonts w:hint="eastAsia" w:ascii="仿宋" w:hAnsi="仿宋" w:eastAsia="仿宋" w:cs="仿宋"/>
          <w:bCs/>
          <w:sz w:val="24"/>
          <w:highlight w:val="none"/>
          <w:lang w:val="en-US" w:eastAsia="zh-CN"/>
        </w:rPr>
        <w:t>求：见合同格式中的相应条款。</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2.8工期：</w:t>
      </w:r>
      <w:r>
        <w:rPr>
          <w:rFonts w:hint="eastAsia" w:ascii="仿宋" w:hAnsi="仿宋" w:eastAsia="仿宋" w:cs="仿宋"/>
          <w:bCs/>
          <w:color w:val="auto"/>
          <w:sz w:val="24"/>
          <w:highlight w:val="none"/>
          <w:lang w:val="en-US" w:eastAsia="zh-CN"/>
        </w:rPr>
        <w:t>自合同签订之日起1个月内完成设计初稿、2个月内完成设计的评审</w:t>
      </w:r>
      <w:r>
        <w:rPr>
          <w:rFonts w:hint="eastAsia" w:ascii="仿宋" w:hAnsi="仿宋" w:eastAsia="仿宋" w:cs="仿宋"/>
          <w:bCs/>
          <w:sz w:val="24"/>
          <w:highlight w:val="none"/>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3.1、在中华人民共和国依照《中华人民共和国民法典》注册的、具有履行合同的能力，具有地质灾害防治甲级以上资质，具有良好资金、设备和其他物质设施状况，良好的管理能力，经验、信誉和相应的从业人员，需提供企业法人营业执照、税务登记证、组织机构代码证或三证合一新证、银行开户许可证、资质证书，并加盖单位公章；</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3.2、报价人没有处于被责令停业，报价资格没有被取消，财产没有被接管、冻结、破产状态；在最近三年内没有骗取中选和严重违约及重大质量问题；</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3.3、报价人2024年至今应具有类似已完成项目业绩，并提供相关合同复印件；</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3.4、在承接类似于本项目的相关业务中，没有出现报价人负主要责任的安全、技术、质量、商务等纠纷，没有产生严重后果，造成重大经济损失，不得在招报价数据库中存在不良记录；</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3.5、具有良好的商业信誉和健全的财务会计制度，提供最新年度的财务报表； </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3.6、参加采购活动前三年之内，在经营活动中没有重大违法记录及安全事故记录；</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3.7、禁止被列入国家失信被执行人名单或中铝集团禁入名单的服务商参与该采购活动；</w:t>
      </w:r>
    </w:p>
    <w:p>
      <w:pPr>
        <w:snapToGrid w:val="0"/>
        <w:spacing w:line="400" w:lineRule="exact"/>
        <w:ind w:firstLine="480" w:firstLineChars="200"/>
        <w:textAlignment w:val="baseline"/>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3.8、法律、行政法规规定的其他条件。</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numPr>
          <w:ilvl w:val="0"/>
          <w:numId w:val="0"/>
        </w:numPr>
        <w:spacing w:line="440" w:lineRule="exact"/>
        <w:ind w:firstLine="480" w:firstLineChars="200"/>
        <w:rPr>
          <w:rFonts w:hint="default" w:ascii="仿宋_GB2312" w:hAnsi="Times New Roman" w:eastAsia="仿宋_GB2312" w:cs="Times New Roman"/>
          <w:bCs/>
          <w:color w:val="auto"/>
          <w:sz w:val="24"/>
          <w:highlight w:val="none"/>
          <w:lang w:val="en-US" w:eastAsia="zh-CN"/>
        </w:rPr>
      </w:pPr>
      <w:bookmarkStart w:id="0" w:name="_Toc3201944"/>
      <w:bookmarkStart w:id="1" w:name="_Toc27489"/>
      <w:bookmarkStart w:id="2" w:name="_Toc517804008"/>
      <w:bookmarkStart w:id="3" w:name="_Toc518044994"/>
      <w:r>
        <w:rPr>
          <w:rFonts w:hint="eastAsia" w:ascii="仿宋" w:hAnsi="仿宋" w:eastAsia="仿宋" w:cs="仿宋"/>
          <w:bCs/>
          <w:color w:val="000000"/>
          <w:sz w:val="24"/>
          <w:lang w:val="en-US" w:eastAsia="zh-CN"/>
        </w:rPr>
        <w:t xml:space="preserve">4.1 </w:t>
      </w:r>
      <w:r>
        <w:rPr>
          <w:rFonts w:hint="eastAsia" w:ascii="仿宋_GB2312" w:hAnsi="Times New Roman" w:eastAsia="仿宋_GB2312" w:cs="Times New Roman"/>
          <w:bCs/>
          <w:color w:val="auto"/>
          <w:sz w:val="24"/>
          <w:highlight w:val="none"/>
        </w:rPr>
        <w:t>采购文件的价格为200元/份，采购文件购买后该费用无论何种原因或中选与否均不予退还。采购文件必须通过联系人获取，未通过联系人获取采购文件的均视为无效采购，取消其报价资格。拟报价人必须将企业营业执照（三证合一）、开户许可证</w:t>
      </w:r>
      <w:r>
        <w:rPr>
          <w:rFonts w:hint="eastAsia" w:ascii="仿宋_GB2312" w:hAnsi="Times New Roman" w:eastAsia="仿宋_GB2312" w:cs="Times New Roman"/>
          <w:bCs/>
          <w:color w:val="auto"/>
          <w:sz w:val="24"/>
          <w:highlight w:val="none"/>
          <w:lang w:eastAsia="zh-CN"/>
        </w:rPr>
        <w:t>（加盖公章），法人身份证（正反面），</w:t>
      </w:r>
      <w:r>
        <w:rPr>
          <w:rFonts w:hint="eastAsia" w:ascii="仿宋_GB2312" w:hAnsi="Times New Roman" w:eastAsia="仿宋_GB2312" w:cs="Times New Roman"/>
          <w:bCs/>
          <w:color w:val="auto"/>
          <w:sz w:val="24"/>
          <w:highlight w:val="none"/>
        </w:rPr>
        <w:t>付款凭证原件、传真（或扫描后电子邮件）传送至联系人后方可取得采购文件（纸质版或电子版）。纸质版可到采购人处领取，电子版通过电子邮件方式发至报价人联系人邮箱。</w:t>
      </w:r>
    </w:p>
    <w:p>
      <w:pPr>
        <w:numPr>
          <w:ilvl w:val="0"/>
          <w:numId w:val="0"/>
        </w:numPr>
        <w:spacing w:line="440" w:lineRule="exact"/>
        <w:ind w:firstLine="480" w:firstLineChars="200"/>
        <w:rPr>
          <w:rFonts w:hint="eastAsia" w:ascii="仿宋_GB2312" w:hAnsi="Times New Roman" w:eastAsia="仿宋_GB2312" w:cs="Times New Roman"/>
          <w:bCs/>
          <w:color w:val="auto"/>
          <w:sz w:val="24"/>
          <w:highlight w:val="none"/>
        </w:rPr>
      </w:pPr>
      <w:r>
        <w:rPr>
          <w:rFonts w:hint="eastAsia" w:ascii="仿宋_GB2312" w:hAnsi="Times New Roman" w:eastAsia="仿宋_GB2312" w:cs="Times New Roman"/>
          <w:bCs/>
          <w:color w:val="auto"/>
          <w:sz w:val="24"/>
          <w:highlight w:val="none"/>
        </w:rPr>
        <w:t>汇款信息如下（必须是公对公汇款）：</w:t>
      </w:r>
    </w:p>
    <w:p>
      <w:pPr>
        <w:numPr>
          <w:ilvl w:val="0"/>
          <w:numId w:val="0"/>
        </w:numPr>
        <w:spacing w:line="440" w:lineRule="exact"/>
        <w:ind w:firstLine="480" w:firstLineChars="200"/>
        <w:rPr>
          <w:rFonts w:hint="eastAsia" w:ascii="仿宋_GB2312" w:hAnsi="Times New Roman" w:eastAsia="仿宋_GB2312" w:cs="Times New Roman"/>
          <w:bCs/>
          <w:color w:val="auto"/>
          <w:sz w:val="24"/>
          <w:highlight w:val="none"/>
        </w:rPr>
      </w:pPr>
      <w:r>
        <w:rPr>
          <w:rFonts w:hint="eastAsia" w:ascii="仿宋_GB2312" w:hAnsi="Times New Roman" w:eastAsia="仿宋_GB2312" w:cs="Times New Roman"/>
          <w:bCs/>
          <w:color w:val="auto"/>
          <w:sz w:val="24"/>
          <w:highlight w:val="none"/>
        </w:rPr>
        <w:t>开户名称：中铝中州</w:t>
      </w:r>
      <w:r>
        <w:rPr>
          <w:rFonts w:hint="eastAsia" w:ascii="仿宋_GB2312" w:hAnsi="Times New Roman" w:eastAsia="仿宋_GB2312" w:cs="Times New Roman"/>
          <w:bCs/>
          <w:color w:val="auto"/>
          <w:sz w:val="24"/>
          <w:highlight w:val="none"/>
          <w:lang w:eastAsia="zh-CN"/>
        </w:rPr>
        <w:t>铝</w:t>
      </w:r>
      <w:r>
        <w:rPr>
          <w:rFonts w:hint="eastAsia" w:ascii="仿宋_GB2312" w:hAnsi="Times New Roman" w:eastAsia="仿宋_GB2312" w:cs="Times New Roman"/>
          <w:bCs/>
          <w:color w:val="auto"/>
          <w:sz w:val="24"/>
          <w:highlight w:val="none"/>
        </w:rPr>
        <w:t>业有限公司</w:t>
      </w:r>
    </w:p>
    <w:p>
      <w:pPr>
        <w:numPr>
          <w:ilvl w:val="0"/>
          <w:numId w:val="0"/>
        </w:numPr>
        <w:spacing w:line="440" w:lineRule="exact"/>
        <w:ind w:firstLine="480" w:firstLineChars="200"/>
        <w:rPr>
          <w:rFonts w:hint="eastAsia" w:ascii="仿宋_GB2312" w:hAnsi="Times New Roman" w:eastAsia="仿宋_GB2312" w:cs="Times New Roman"/>
          <w:bCs/>
          <w:color w:val="auto"/>
          <w:sz w:val="24"/>
          <w:highlight w:val="none"/>
        </w:rPr>
      </w:pPr>
      <w:r>
        <w:rPr>
          <w:rFonts w:hint="eastAsia" w:ascii="仿宋_GB2312" w:hAnsi="Times New Roman" w:eastAsia="仿宋_GB2312" w:cs="Times New Roman"/>
          <w:bCs/>
          <w:color w:val="auto"/>
          <w:sz w:val="24"/>
          <w:highlight w:val="none"/>
        </w:rPr>
        <w:t>开户行：中国工商银行焦作分行中州铝厂支行</w:t>
      </w:r>
    </w:p>
    <w:p>
      <w:pPr>
        <w:numPr>
          <w:ilvl w:val="0"/>
          <w:numId w:val="0"/>
        </w:numPr>
        <w:spacing w:line="440" w:lineRule="exact"/>
        <w:ind w:firstLine="480" w:firstLineChars="200"/>
        <w:rPr>
          <w:rFonts w:hint="eastAsia" w:ascii="仿宋_GB2312" w:hAnsi="Times New Roman" w:eastAsia="仿宋_GB2312" w:cs="Times New Roman"/>
          <w:bCs/>
          <w:color w:val="auto"/>
          <w:sz w:val="24"/>
          <w:highlight w:val="none"/>
        </w:rPr>
      </w:pPr>
      <w:r>
        <w:rPr>
          <w:rFonts w:hint="eastAsia" w:ascii="仿宋_GB2312" w:hAnsi="Times New Roman" w:eastAsia="仿宋_GB2312" w:cs="Times New Roman"/>
          <w:bCs/>
          <w:color w:val="auto"/>
          <w:sz w:val="24"/>
          <w:highlight w:val="none"/>
        </w:rPr>
        <w:t>银行账号：1709028019200089451</w:t>
      </w:r>
    </w:p>
    <w:p>
      <w:pPr>
        <w:numPr>
          <w:ilvl w:val="0"/>
          <w:numId w:val="0"/>
        </w:numPr>
        <w:spacing w:line="440" w:lineRule="exact"/>
        <w:ind w:firstLine="480" w:firstLineChars="200"/>
        <w:rPr>
          <w:rFonts w:hint="default" w:ascii="仿宋" w:hAnsi="仿宋" w:eastAsia="仿宋" w:cs="仿宋"/>
          <w:bCs/>
          <w:sz w:val="24"/>
          <w:lang w:val="en-US" w:eastAsia="zh-CN"/>
        </w:rPr>
      </w:pPr>
      <w:r>
        <w:rPr>
          <w:rFonts w:hint="eastAsia" w:ascii="仿宋_GB2312" w:hAnsi="Times New Roman" w:eastAsia="仿宋_GB2312" w:cs="Times New Roman"/>
          <w:bCs/>
          <w:color w:val="auto"/>
          <w:sz w:val="24"/>
          <w:highlight w:val="none"/>
        </w:rPr>
        <w:t>汇款备注中，须注明“</w:t>
      </w:r>
      <w:r>
        <w:rPr>
          <w:rFonts w:hint="eastAsia" w:ascii="仿宋_GB2312" w:hAnsi="Times New Roman" w:eastAsia="仿宋_GB2312" w:cs="Times New Roman"/>
          <w:bCs/>
          <w:color w:val="auto"/>
          <w:sz w:val="24"/>
          <w:highlight w:val="none"/>
          <w:lang w:val="en-US" w:eastAsia="zh-CN"/>
        </w:rPr>
        <w:t>冯营石灰石矿地质环境保护与恢复治理工程勘查及设计（五期）项目</w:t>
      </w:r>
      <w:r>
        <w:rPr>
          <w:rFonts w:hint="eastAsia" w:ascii="仿宋_GB2312" w:hAnsi="Times New Roman" w:eastAsia="仿宋_GB2312" w:cs="Times New Roman"/>
          <w:bCs/>
          <w:color w:val="auto"/>
          <w:sz w:val="24"/>
          <w:highlight w:val="none"/>
        </w:rPr>
        <w:t>采购文件费”。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w:t>
      </w:r>
      <w:r>
        <w:rPr>
          <w:rFonts w:hint="eastAsia" w:ascii="仿宋" w:hAnsi="仿宋" w:eastAsia="仿宋" w:cs="仿宋"/>
          <w:bCs/>
          <w:color w:val="FF0000"/>
          <w:sz w:val="24"/>
          <w:szCs w:val="24"/>
          <w:highlight w:val="none"/>
          <w:lang w:eastAsia="zh-CN"/>
        </w:rPr>
        <w:t>2026</w:t>
      </w:r>
      <w:r>
        <w:rPr>
          <w:rFonts w:hint="eastAsia" w:ascii="仿宋" w:hAnsi="仿宋" w:eastAsia="仿宋" w:cs="仿宋"/>
          <w:bCs/>
          <w:color w:val="FF0000"/>
          <w:sz w:val="24"/>
          <w:szCs w:val="24"/>
          <w:highlight w:val="none"/>
        </w:rPr>
        <w:t>年</w:t>
      </w:r>
      <w:r>
        <w:rPr>
          <w:rFonts w:hint="eastAsia" w:ascii="仿宋" w:hAnsi="仿宋" w:eastAsia="仿宋" w:cs="仿宋"/>
          <w:bCs/>
          <w:color w:val="FF0000"/>
          <w:sz w:val="24"/>
          <w:szCs w:val="24"/>
          <w:highlight w:val="none"/>
          <w:lang w:val="en-US" w:eastAsia="zh-CN"/>
        </w:rPr>
        <w:t>6</w:t>
      </w:r>
      <w:r>
        <w:rPr>
          <w:rFonts w:hint="eastAsia" w:ascii="仿宋" w:hAnsi="仿宋" w:eastAsia="仿宋" w:cs="仿宋"/>
          <w:bCs/>
          <w:color w:val="FF0000"/>
          <w:sz w:val="24"/>
          <w:szCs w:val="24"/>
          <w:highlight w:val="none"/>
        </w:rPr>
        <w:t>月</w:t>
      </w:r>
      <w:r>
        <w:rPr>
          <w:rFonts w:hint="eastAsia" w:ascii="仿宋" w:hAnsi="仿宋" w:eastAsia="仿宋" w:cs="仿宋"/>
          <w:bCs/>
          <w:color w:val="FF0000"/>
          <w:sz w:val="24"/>
          <w:szCs w:val="24"/>
          <w:highlight w:val="none"/>
          <w:lang w:val="en-US" w:eastAsia="zh-CN"/>
        </w:rPr>
        <w:t>4</w:t>
      </w:r>
      <w:r>
        <w:rPr>
          <w:rFonts w:hint="eastAsia" w:ascii="仿宋" w:hAnsi="仿宋" w:eastAsia="仿宋" w:cs="仿宋"/>
          <w:bCs/>
          <w:color w:val="FF0000"/>
          <w:sz w:val="24"/>
          <w:szCs w:val="24"/>
          <w:highlight w:val="none"/>
        </w:rPr>
        <w:t>日</w:t>
      </w:r>
      <w:r>
        <w:rPr>
          <w:rFonts w:hint="eastAsia" w:ascii="仿宋" w:hAnsi="仿宋" w:eastAsia="仿宋" w:cs="仿宋"/>
          <w:bCs/>
          <w:color w:val="FF0000"/>
          <w:sz w:val="24"/>
          <w:szCs w:val="24"/>
          <w:highlight w:val="none"/>
          <w:lang w:val="en-US" w:eastAsia="zh-CN"/>
        </w:rPr>
        <w:t>16</w:t>
      </w:r>
      <w:r>
        <w:rPr>
          <w:rFonts w:hint="eastAsia" w:ascii="仿宋" w:hAnsi="仿宋" w:eastAsia="仿宋" w:cs="仿宋"/>
          <w:bCs/>
          <w:color w:val="FF0000"/>
          <w:sz w:val="24"/>
          <w:szCs w:val="24"/>
          <w:highlight w:val="none"/>
        </w:rPr>
        <w:t>:</w:t>
      </w:r>
      <w:r>
        <w:rPr>
          <w:rFonts w:hint="eastAsia" w:ascii="仿宋" w:hAnsi="仿宋" w:eastAsia="仿宋" w:cs="仿宋"/>
          <w:bCs/>
          <w:color w:val="FF0000"/>
          <w:sz w:val="24"/>
          <w:szCs w:val="24"/>
          <w:highlight w:val="none"/>
          <w:lang w:val="en-US" w:eastAsia="zh-CN"/>
        </w:rPr>
        <w:t>30</w:t>
      </w:r>
      <w:r>
        <w:rPr>
          <w:rFonts w:hint="eastAsia" w:ascii="仿宋" w:hAnsi="仿宋" w:eastAsia="仿宋" w:cs="仿宋"/>
          <w:bCs/>
          <w:sz w:val="24"/>
          <w:lang w:val="en-US" w:eastAsia="zh-CN"/>
        </w:rPr>
        <w:t>（北京时间）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3201945"/>
      <w:bookmarkStart w:id="5" w:name="_Toc9267"/>
      <w:bookmarkStart w:id="6" w:name="_Toc518044995"/>
      <w:bookmarkStart w:id="7" w:name="_Toc517804009"/>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w:t>
      </w:r>
      <w:r>
        <w:rPr>
          <w:rFonts w:hint="eastAsia" w:ascii="仿宋" w:hAnsi="仿宋" w:eastAsia="仿宋" w:cs="仿宋"/>
          <w:color w:val="FF0000"/>
          <w:sz w:val="24"/>
          <w:szCs w:val="24"/>
          <w:highlight w:val="none"/>
          <w:lang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5</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0</w:t>
      </w:r>
      <w:r>
        <w:rPr>
          <w:rFonts w:hint="eastAsia" w:ascii="仿宋" w:hAnsi="仿宋" w:eastAsia="仿宋" w:cs="仿宋"/>
          <w:color w:val="FF0000"/>
          <w:sz w:val="24"/>
          <w:szCs w:val="24"/>
          <w:highlight w:val="none"/>
        </w:rPr>
        <w:t>0</w:t>
      </w:r>
      <w:r>
        <w:rPr>
          <w:rFonts w:hint="eastAsia" w:ascii="仿宋" w:hAnsi="仿宋" w:eastAsia="仿宋" w:cs="仿宋"/>
          <w:bCs/>
          <w:sz w:val="24"/>
          <w:lang w:val="en-US" w:eastAsia="zh-CN"/>
        </w:rPr>
        <w:t>（北京时间）。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w:t>
      </w:r>
      <w:r>
        <w:rPr>
          <w:rFonts w:hint="eastAsia" w:ascii="仿宋" w:hAnsi="仿宋" w:eastAsia="仿宋" w:cs="仿宋"/>
          <w:bCs/>
          <w:sz w:val="24"/>
          <w:szCs w:val="24"/>
        </w:rPr>
        <w:t>生产管控中心</w:t>
      </w:r>
      <w:r>
        <w:rPr>
          <w:rFonts w:hint="eastAsia" w:ascii="仿宋" w:hAnsi="仿宋" w:eastAsia="仿宋" w:cs="仿宋"/>
          <w:bCs/>
          <w:sz w:val="24"/>
          <w:szCs w:val="24"/>
          <w:lang w:eastAsia="zh-CN"/>
        </w:rPr>
        <w:t>生产技术办公室矿山</w:t>
      </w:r>
      <w:r>
        <w:rPr>
          <w:rFonts w:hint="eastAsia" w:ascii="仿宋" w:hAnsi="仿宋" w:eastAsia="仿宋" w:cs="仿宋"/>
          <w:bCs/>
          <w:sz w:val="24"/>
          <w:szCs w:val="24"/>
        </w:rPr>
        <w:t>会议室</w:t>
      </w:r>
      <w:r>
        <w:rPr>
          <w:rFonts w:hint="eastAsia" w:ascii="仿宋" w:hAnsi="仿宋" w:eastAsia="仿宋" w:cs="仿宋"/>
          <w:bCs/>
          <w:sz w:val="24"/>
          <w:lang w:val="en-US" w:eastAsia="zh-CN"/>
        </w:rPr>
        <w:t>（中州铝业办公楼西保卫部三楼）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22632"/>
      <w:bookmarkStart w:id="10" w:name="_Toc517804011"/>
      <w:bookmarkStart w:id="11" w:name="_Toc3201947"/>
      <w:bookmarkStart w:id="12" w:name="_Toc518044997"/>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numPr>
          <w:ilvl w:val="0"/>
          <w:numId w:val="0"/>
        </w:numPr>
        <w:spacing w:line="440" w:lineRule="exact"/>
        <w:ind w:firstLine="480" w:firstLineChars="200"/>
        <w:rPr>
          <w:rFonts w:hint="eastAsia" w:ascii="仿宋_GB2312" w:hAnsi="Times New Roman" w:eastAsia="仿宋_GB2312" w:cs="Times New Roman"/>
          <w:bCs/>
          <w:color w:val="auto"/>
          <w:sz w:val="24"/>
          <w:highlight w:val="none"/>
        </w:rPr>
      </w:pPr>
      <w:r>
        <w:rPr>
          <w:rFonts w:hint="eastAsia" w:ascii="仿宋_GB2312" w:hAnsi="Times New Roman" w:eastAsia="仿宋_GB2312" w:cs="Times New Roman"/>
          <w:bCs/>
          <w:color w:val="auto"/>
          <w:sz w:val="24"/>
          <w:highlight w:val="none"/>
        </w:rPr>
        <w:t>开户名称：中铝中州</w:t>
      </w:r>
      <w:r>
        <w:rPr>
          <w:rFonts w:hint="eastAsia" w:ascii="仿宋_GB2312" w:hAnsi="Times New Roman" w:eastAsia="仿宋_GB2312" w:cs="Times New Roman"/>
          <w:bCs/>
          <w:color w:val="auto"/>
          <w:sz w:val="24"/>
          <w:highlight w:val="none"/>
          <w:lang w:eastAsia="zh-CN"/>
        </w:rPr>
        <w:t>铝</w:t>
      </w:r>
      <w:r>
        <w:rPr>
          <w:rFonts w:hint="eastAsia" w:ascii="仿宋_GB2312" w:hAnsi="Times New Roman" w:eastAsia="仿宋_GB2312" w:cs="Times New Roman"/>
          <w:bCs/>
          <w:color w:val="auto"/>
          <w:sz w:val="24"/>
          <w:highlight w:val="none"/>
        </w:rPr>
        <w:t>业有限公司</w:t>
      </w:r>
    </w:p>
    <w:p>
      <w:pPr>
        <w:numPr>
          <w:ilvl w:val="0"/>
          <w:numId w:val="0"/>
        </w:numPr>
        <w:spacing w:line="440" w:lineRule="exact"/>
        <w:ind w:firstLine="480" w:firstLineChars="200"/>
        <w:rPr>
          <w:rFonts w:hint="eastAsia" w:ascii="仿宋_GB2312" w:hAnsi="Times New Roman" w:eastAsia="仿宋_GB2312" w:cs="Times New Roman"/>
          <w:bCs/>
          <w:color w:val="auto"/>
          <w:sz w:val="24"/>
          <w:highlight w:val="none"/>
        </w:rPr>
      </w:pPr>
      <w:r>
        <w:rPr>
          <w:rFonts w:hint="eastAsia" w:ascii="仿宋_GB2312" w:hAnsi="Times New Roman" w:eastAsia="仿宋_GB2312" w:cs="Times New Roman"/>
          <w:bCs/>
          <w:color w:val="auto"/>
          <w:sz w:val="24"/>
          <w:highlight w:val="none"/>
        </w:rPr>
        <w:t>开户行：中国工商银行焦作分行中州铝厂支行</w:t>
      </w:r>
    </w:p>
    <w:p>
      <w:pPr>
        <w:numPr>
          <w:ilvl w:val="0"/>
          <w:numId w:val="0"/>
        </w:numPr>
        <w:spacing w:line="440" w:lineRule="exact"/>
        <w:ind w:firstLine="480" w:firstLineChars="200"/>
        <w:rPr>
          <w:rFonts w:hint="eastAsia" w:ascii="仿宋_GB2312" w:hAnsi="Times New Roman" w:eastAsia="仿宋_GB2312" w:cs="Times New Roman"/>
          <w:bCs/>
          <w:color w:val="auto"/>
          <w:sz w:val="24"/>
          <w:highlight w:val="none"/>
        </w:rPr>
      </w:pPr>
      <w:r>
        <w:rPr>
          <w:rFonts w:hint="eastAsia" w:ascii="仿宋_GB2312" w:hAnsi="Times New Roman" w:eastAsia="仿宋_GB2312" w:cs="Times New Roman"/>
          <w:bCs/>
          <w:color w:val="auto"/>
          <w:sz w:val="24"/>
          <w:highlight w:val="none"/>
        </w:rPr>
        <w:t>银行账号：1709028019200089451</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27A3611"/>
    <w:rsid w:val="02F063CD"/>
    <w:rsid w:val="031C6264"/>
    <w:rsid w:val="037B371D"/>
    <w:rsid w:val="037D6B45"/>
    <w:rsid w:val="0393643C"/>
    <w:rsid w:val="03AA4003"/>
    <w:rsid w:val="044E0E32"/>
    <w:rsid w:val="04C4495A"/>
    <w:rsid w:val="05880374"/>
    <w:rsid w:val="05C532C6"/>
    <w:rsid w:val="065E79C1"/>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547E75"/>
    <w:rsid w:val="28A714A1"/>
    <w:rsid w:val="29600B3C"/>
    <w:rsid w:val="297840D8"/>
    <w:rsid w:val="2A3C3357"/>
    <w:rsid w:val="2BAB1B43"/>
    <w:rsid w:val="2C0B7693"/>
    <w:rsid w:val="2C43774A"/>
    <w:rsid w:val="2D1D4C6D"/>
    <w:rsid w:val="2D67693D"/>
    <w:rsid w:val="2DEC690F"/>
    <w:rsid w:val="2EDD7488"/>
    <w:rsid w:val="30E958BB"/>
    <w:rsid w:val="31B86A3F"/>
    <w:rsid w:val="31D8306E"/>
    <w:rsid w:val="32285F6F"/>
    <w:rsid w:val="339064C2"/>
    <w:rsid w:val="33BC290D"/>
    <w:rsid w:val="346902C6"/>
    <w:rsid w:val="34E40FCA"/>
    <w:rsid w:val="35102E7B"/>
    <w:rsid w:val="351729F7"/>
    <w:rsid w:val="35C76459"/>
    <w:rsid w:val="37C07F75"/>
    <w:rsid w:val="38F4304F"/>
    <w:rsid w:val="38F73281"/>
    <w:rsid w:val="3AAC3BE1"/>
    <w:rsid w:val="3AE96BE3"/>
    <w:rsid w:val="3C3E6CFB"/>
    <w:rsid w:val="3C6A5B02"/>
    <w:rsid w:val="3E0E49C6"/>
    <w:rsid w:val="3ED2731A"/>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38C00C5"/>
    <w:rsid w:val="550A42E0"/>
    <w:rsid w:val="56140091"/>
    <w:rsid w:val="571748E3"/>
    <w:rsid w:val="581D594B"/>
    <w:rsid w:val="59395101"/>
    <w:rsid w:val="5AFD146D"/>
    <w:rsid w:val="5B5434A8"/>
    <w:rsid w:val="5B5E287E"/>
    <w:rsid w:val="5BF154A0"/>
    <w:rsid w:val="5C0F4FE4"/>
    <w:rsid w:val="5D6F11AF"/>
    <w:rsid w:val="5DA3376E"/>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52089"/>
    <w:rsid w:val="71ED7056"/>
    <w:rsid w:val="728F1117"/>
    <w:rsid w:val="732C01D1"/>
    <w:rsid w:val="73DD17AE"/>
    <w:rsid w:val="73E01C41"/>
    <w:rsid w:val="740578E3"/>
    <w:rsid w:val="74624D35"/>
    <w:rsid w:val="75181898"/>
    <w:rsid w:val="7568697B"/>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4">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index 8"/>
    <w:basedOn w:val="1"/>
    <w:next w:val="1"/>
    <w:qFormat/>
    <w:uiPriority w:val="0"/>
    <w:pPr>
      <w:ind w:left="0" w:firstLine="800" w:firstLineChars="200"/>
    </w:pPr>
    <w:rPr>
      <w:rFonts w:ascii="Calibri" w:hAnsi="Calibri" w:eastAsia="仿宋_GB2312" w:cs="Times New Roman"/>
      <w:sz w:val="32"/>
    </w:rPr>
  </w:style>
  <w:style w:type="paragraph" w:styleId="5">
    <w:name w:val="Normal Indent"/>
    <w:basedOn w:val="1"/>
    <w:qFormat/>
    <w:uiPriority w:val="0"/>
    <w:pPr>
      <w:spacing w:line="360" w:lineRule="auto"/>
      <w:ind w:firstLine="200" w:firstLineChars="200"/>
    </w:pPr>
    <w:rPr>
      <w:rFonts w:ascii="宋体" w:hAnsi="宋体"/>
      <w:sz w:val="24"/>
      <w:szCs w:val="20"/>
    </w:rPr>
  </w:style>
  <w:style w:type="paragraph" w:styleId="6">
    <w:name w:val="annotation text"/>
    <w:basedOn w:val="1"/>
    <w:qFormat/>
    <w:uiPriority w:val="0"/>
    <w:pPr>
      <w:jc w:val="left"/>
    </w:pPr>
    <w:rPr>
      <w:rFonts w:ascii="Calibri" w:hAnsi="Calibri" w:eastAsia="宋体" w:cs="Times New Roman"/>
    </w:rPr>
  </w:style>
  <w:style w:type="paragraph" w:styleId="7">
    <w:name w:val="Body Text"/>
    <w:basedOn w:val="1"/>
    <w:next w:val="1"/>
    <w:qFormat/>
    <w:uiPriority w:val="0"/>
    <w:pPr>
      <w:spacing w:after="120"/>
    </w:pPr>
  </w:style>
  <w:style w:type="paragraph" w:styleId="8">
    <w:name w:val="Body Text Indent"/>
    <w:basedOn w:val="1"/>
    <w:next w:val="5"/>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7"/>
    <w:qFormat/>
    <w:uiPriority w:val="0"/>
    <w:pPr>
      <w:spacing w:after="120" w:line="480" w:lineRule="auto"/>
    </w:pPr>
  </w:style>
  <w:style w:type="paragraph" w:styleId="10">
    <w:name w:val="Body Text First Indent"/>
    <w:basedOn w:val="7"/>
    <w:next w:val="1"/>
    <w:qFormat/>
    <w:uiPriority w:val="0"/>
    <w:pPr>
      <w:widowControl w:val="0"/>
      <w:spacing w:after="120"/>
      <w:ind w:firstLine="420" w:firstLineChars="100"/>
      <w:jc w:val="both"/>
    </w:pPr>
    <w:rPr>
      <w:kern w:val="2"/>
      <w:sz w:val="21"/>
      <w:szCs w:val="24"/>
      <w:lang w:val="en-US" w:eastAsia="zh-CN" w:bidi="ar-SA"/>
    </w:rPr>
  </w:style>
  <w:style w:type="paragraph" w:styleId="11">
    <w:name w:val="Body Text First Indent 2"/>
    <w:basedOn w:val="8"/>
    <w:unhideWhenUsed/>
    <w:qFormat/>
    <w:uiPriority w:val="99"/>
    <w:pPr>
      <w:spacing w:before="100" w:beforeAutospacing="1"/>
      <w:ind w:left="200" w:firstLine="420"/>
    </w:pPr>
  </w:style>
  <w:style w:type="character" w:customStyle="1" w:styleId="14">
    <w:name w:val="font12"/>
    <w:basedOn w:val="13"/>
    <w:qFormat/>
    <w:uiPriority w:val="0"/>
    <w:rPr>
      <w:rFonts w:hint="eastAsia" w:ascii="仿宋" w:hAnsi="仿宋" w:eastAsia="仿宋" w:cs="仿宋"/>
      <w:b/>
      <w:bCs/>
      <w:color w:val="000000"/>
      <w:sz w:val="24"/>
      <w:szCs w:val="24"/>
      <w:u w:val="none"/>
    </w:rPr>
  </w:style>
  <w:style w:type="character" w:customStyle="1" w:styleId="15">
    <w:name w:val="font111"/>
    <w:basedOn w:val="13"/>
    <w:qFormat/>
    <w:uiPriority w:val="0"/>
    <w:rPr>
      <w:rFonts w:hint="eastAsia" w:ascii="宋体" w:hAnsi="宋体" w:eastAsia="宋体" w:cs="宋体"/>
      <w:color w:val="000000"/>
      <w:sz w:val="22"/>
      <w:szCs w:val="22"/>
      <w:u w:val="none"/>
    </w:rPr>
  </w:style>
  <w:style w:type="character" w:customStyle="1" w:styleId="16">
    <w:name w:val="font122"/>
    <w:basedOn w:val="13"/>
    <w:qFormat/>
    <w:uiPriority w:val="0"/>
    <w:rPr>
      <w:rFonts w:hint="eastAsia" w:ascii="仿宋" w:hAnsi="仿宋" w:eastAsia="仿宋" w:cs="仿宋"/>
      <w:color w:val="000000"/>
      <w:sz w:val="24"/>
      <w:szCs w:val="24"/>
      <w:u w:val="none"/>
    </w:rPr>
  </w:style>
  <w:style w:type="character" w:customStyle="1" w:styleId="17">
    <w:name w:val="font221"/>
    <w:basedOn w:val="13"/>
    <w:qFormat/>
    <w:uiPriority w:val="0"/>
    <w:rPr>
      <w:rFonts w:hint="eastAsia" w:ascii="仿宋" w:hAnsi="仿宋" w:eastAsia="仿宋" w:cs="仿宋"/>
      <w:color w:val="000000"/>
      <w:sz w:val="20"/>
      <w:szCs w:val="20"/>
      <w:u w:val="none"/>
      <w:vertAlign w:val="subscript"/>
    </w:rPr>
  </w:style>
  <w:style w:type="paragraph" w:customStyle="1" w:styleId="18">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待雪</cp:lastModifiedBy>
  <dcterms:modified xsi:type="dcterms:W3CDTF">2026-06-01T02:20:48Z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