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before="156" w:after="156" w:line="360" w:lineRule="auto"/>
        <w:jc w:val="center"/>
        <w:textAlignment w:val="baseline"/>
        <w:rPr>
          <w:rFonts w:hint="eastAsia" w:ascii="黑体" w:hAnsi="黑体" w:eastAsia="黑体" w:cs="黑体"/>
          <w:bCs/>
          <w:sz w:val="36"/>
          <w:szCs w:val="36"/>
          <w:lang w:eastAsia="zh-CN"/>
        </w:rPr>
      </w:pPr>
      <w:r>
        <w:rPr>
          <w:rFonts w:hint="eastAsia" w:ascii="黑体" w:hAnsi="黑体" w:eastAsia="黑体" w:cs="黑体"/>
          <w:bCs/>
          <w:sz w:val="36"/>
          <w:szCs w:val="36"/>
          <w:lang w:val="en-US" w:eastAsia="zh-CN"/>
        </w:rPr>
        <w:t>中铝中州铝业有限公司冯营石灰石矿矿山地质环境保护与恢复治理工程（五期）监理项</w:t>
      </w:r>
      <w:r>
        <w:rPr>
          <w:rFonts w:hint="eastAsia" w:ascii="黑体" w:hAnsi="黑体" w:eastAsia="黑体" w:cs="黑体"/>
          <w:bCs/>
          <w:sz w:val="36"/>
          <w:szCs w:val="36"/>
          <w:lang w:eastAsia="zh-CN"/>
        </w:rPr>
        <w:t>目采购公告</w:t>
      </w:r>
    </w:p>
    <w:p>
      <w:pPr>
        <w:snapToGrid w:val="0"/>
        <w:spacing w:before="156" w:after="156" w:line="360" w:lineRule="auto"/>
        <w:jc w:val="center"/>
        <w:textAlignment w:val="baseline"/>
        <w:rPr>
          <w:rFonts w:hint="default" w:ascii="黑体" w:hAnsi="黑体" w:eastAsia="黑体" w:cs="黑体"/>
          <w:bCs/>
          <w:sz w:val="36"/>
          <w:szCs w:val="36"/>
          <w:lang w:val="en-US" w:eastAsia="zh-CN"/>
        </w:rPr>
      </w:pPr>
      <w:r>
        <w:rPr>
          <w:rFonts w:hint="eastAsia" w:ascii="黑体" w:hAnsi="黑体" w:eastAsia="黑体" w:cs="黑体"/>
          <w:bCs/>
          <w:sz w:val="36"/>
          <w:szCs w:val="36"/>
          <w:lang w:eastAsia="zh-CN"/>
        </w:rPr>
        <w:t>采购编号：CG-ZZ-20260</w:t>
      </w:r>
      <w:r>
        <w:rPr>
          <w:rFonts w:hint="eastAsia" w:ascii="黑体" w:hAnsi="黑体" w:eastAsia="黑体" w:cs="黑体"/>
          <w:bCs/>
          <w:sz w:val="36"/>
          <w:szCs w:val="36"/>
          <w:lang w:val="en-US" w:eastAsia="zh-CN"/>
        </w:rPr>
        <w:t>7</w:t>
      </w:r>
      <w:r>
        <w:rPr>
          <w:rFonts w:hint="eastAsia" w:ascii="黑体" w:hAnsi="黑体" w:eastAsia="黑体" w:cs="黑体"/>
          <w:bCs/>
          <w:sz w:val="36"/>
          <w:szCs w:val="36"/>
          <w:lang w:eastAsia="zh-CN"/>
        </w:rPr>
        <w:t>-SCGK-SCJSK-00</w:t>
      </w:r>
      <w:r>
        <w:rPr>
          <w:rFonts w:hint="eastAsia" w:ascii="黑体" w:hAnsi="黑体" w:eastAsia="黑体" w:cs="黑体"/>
          <w:bCs/>
          <w:sz w:val="36"/>
          <w:szCs w:val="36"/>
          <w:lang w:val="en-US" w:eastAsia="zh-CN"/>
        </w:rPr>
        <w:t>8</w:t>
      </w: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1采购条件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中铝中州铝业有限公司冯营石灰石矿矿山地质环境保护与恢复治理工程（五期）监理项目已具备采购条件，资金自筹且已落实。采购人为：中铝中州铝业有限公司生产管控中心。采购人对该项目进行竞价采购，报价方式为现场报价。</w:t>
      </w: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2项目概况及采购范围</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2.1项目名称：中铝中州铝业有限公司冯营石灰石矿矿山地质环境保护与恢复治理工程（五期）监理项目</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default" w:ascii="仿宋" w:hAnsi="仿宋" w:eastAsia="仿宋" w:cs="仿宋"/>
          <w:bCs/>
          <w:sz w:val="24"/>
          <w:lang w:val="en-US" w:eastAsia="zh-CN"/>
        </w:rPr>
      </w:pPr>
      <w:r>
        <w:rPr>
          <w:rFonts w:hint="eastAsia" w:ascii="仿宋" w:hAnsi="仿宋" w:eastAsia="仿宋" w:cs="仿宋"/>
          <w:bCs/>
          <w:sz w:val="24"/>
          <w:lang w:val="en-US" w:eastAsia="zh-CN"/>
        </w:rPr>
        <w:t>2.2项目类型：监理</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2.3项目概况：中铝中州铝业有限公司冯营石灰石矿区位于焦作市马村区安阳城街道办事处和修武县七贤镇。矿区总面积1.45平方公里，矿区划分为a、b、c、d四个采区，开采矿种为熔剂用石灰岩，开采方式为露天开采。</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2.4项目地点：焦作市修武县</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2.5主要工作内容及质量标准要求：</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2.5.1主要内容：</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按国家有关规定对中州铝业有限公司冯营石灰石矿矿山地质环境保护与恢复治理工程（五期）施工进行全部过程的监督与管理，对不符合工程设计要求、施工技术标准和合同约定的工程及工程质量，要求施工方改正，保证矿山整体治理效果，进一步打造绿色矿山。</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（1）协助甲方审核施工方提交的有关工程技术资料准备和开工报告。核查并签发施工图，发现问题向甲方反应，重大问题向甲方做专题报告。</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（2）确认并审查施工组织设计、施工方案、施工进度计划，并监督检查实施。</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（3）督促施工单位严格执行合同并严格按照国家技术规范、标准与设计书的要求进行精心施工，并对工程施工质量、工序进行现场验收、签证、严格控制工程施工质量。</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（4）审核施工单位的进度计划，签收、检查施工单位填报的旬、月、季等报表，控制工程进度。</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（5）针对本工程协调建设单位、勘察设计单位、施工单位之间的关系，审核施工单位关于工程的合理化建议，并提出对工程设计、施工的变更或修改意见，组织或参与关于工程的各种技术会议，编制会议纪要。</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（6）组织或参与重大的工程设计修改和技术洽商，提出监理意见。对工程设计的修改，应征得甲方同意和勘察设计单位的意见，原则上由设计单位进行。</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（7）如发现施工内容与批准的设计严重不一致时，立即下达停工通知，并及时报告甲方。</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（8）协助甲方编制付款计划，审查承包人提交的资金流计划、审核承包人提交的支付申请；审核施工单位填报的已完成工程量，签发付款凭证，控制工程投资。</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（9）监督、检查工程的文明施工和安全防护措施。</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（10）检查工程状况，鉴定工程质量问题与责任，协助施工单位或主持审理工程质量事故的处理，提出处理意见，所发生的费用由责任方承担。</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（11）负责工程各施工工序的质量检查和质量控制。整体工程完成后负责组织或参与初步验收，审签由施工单位提交的工程竣工资料和报告，并协助甲方组织最终验收工作。</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（12）督促、检查施工单位最终成果资料的整理和归档。</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（13）按照工程验收需要及相关要求，负责提供规范完整的工程监理资料。</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2.5.2质量要求：符合适用的法律、行政法规及部门规章要求</w:t>
      </w:r>
      <w:r>
        <w:rPr>
          <w:rFonts w:hint="eastAsia" w:ascii="仿宋" w:hAnsi="仿宋" w:eastAsia="仿宋" w:cs="仿宋"/>
          <w:bCs/>
          <w:sz w:val="24"/>
          <w:lang w:val="en-US" w:eastAsia="zh-CN"/>
        </w:rPr>
        <w:t>。</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2.6报价注意事项：无。</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2.7其他要求：见合同格式中的相应条款。</w:t>
      </w:r>
      <w:bookmarkStart w:id="14" w:name="_GoBack"/>
      <w:bookmarkEnd w:id="14"/>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default" w:ascii="仿宋" w:hAnsi="仿宋" w:eastAsia="仿宋" w:cs="仿宋"/>
          <w:bCs/>
          <w:sz w:val="24"/>
          <w:lang w:val="en-US" w:eastAsia="zh-CN"/>
        </w:rPr>
      </w:pPr>
      <w:r>
        <w:rPr>
          <w:rFonts w:hint="eastAsia" w:ascii="仿宋" w:hAnsi="仿宋" w:eastAsia="仿宋" w:cs="仿宋"/>
          <w:bCs/>
          <w:sz w:val="24"/>
          <w:lang w:val="en-US" w:eastAsia="zh-CN"/>
        </w:rPr>
        <w:t>2.8工期：自【合同签订之日】始，至【治理工程监测和管护期结束】止</w:t>
      </w:r>
      <w:r>
        <w:rPr>
          <w:rFonts w:hint="eastAsia" w:ascii="仿宋" w:hAnsi="仿宋" w:eastAsia="仿宋" w:cs="仿宋"/>
          <w:bCs/>
          <w:sz w:val="24"/>
          <w:lang w:val="en-US" w:eastAsia="zh-CN"/>
        </w:rPr>
        <w:t>。</w:t>
      </w:r>
    </w:p>
    <w:p>
      <w:pPr>
        <w:spacing w:line="440" w:lineRule="exact"/>
        <w:ind w:firstLine="562" w:firstLineChars="200"/>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3报价人资格要求</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3.1、在中华人民共和国依照《中华人民共和国民法典》注册的、具有履行合同的能力，</w:t>
      </w:r>
      <w:r>
        <w:rPr>
          <w:rFonts w:hint="eastAsia" w:ascii="仿宋" w:hAnsi="仿宋" w:eastAsia="仿宋" w:cs="仿宋"/>
          <w:bCs/>
          <w:sz w:val="24"/>
          <w:highlight w:val="green"/>
          <w:lang w:val="en-US" w:eastAsia="zh-CN"/>
        </w:rPr>
        <w:t>具有地质灾害治理工程监理乙级以上资质</w:t>
      </w:r>
      <w:r>
        <w:rPr>
          <w:rFonts w:hint="eastAsia" w:ascii="仿宋" w:hAnsi="仿宋" w:eastAsia="仿宋" w:cs="仿宋"/>
          <w:bCs/>
          <w:sz w:val="24"/>
          <w:lang w:val="en-US" w:eastAsia="zh-CN"/>
        </w:rPr>
        <w:t>，具有良好资金、设备和其他物质设施状况，良好的管理能力，经验、信誉和相应的从业人员，需提供企业法人营业执照、资质证书；</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3.2、报价人没有处于被责令停业，报价资格没有被取消，财产没有被接管、冻结、破产状态；在最近三年内没有骗取中选和严重违约及重大质量问题；</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3.3在承接类似于本项目的相关业务中，没有出现报价人负主要责任的安全、技术、质量、商务等纠纷，没有产生严重后果，造成重大经济损失，不得在招报价数据库中存在不良记录；</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 xml:space="preserve">3.4、具有良好的商业信誉和健全的财务会计制度，提供最新年度的财务报表； </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3.5、参加采购活动前三年之内，在经营活动中没有重大违法记录及安全事故记录；</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3.6、禁止被列入国家失信被执行人名单或中铝集团禁入名单的服务商参与该采购活动；</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3.7、法律、行政法规规定的其他条件。</w:t>
      </w:r>
    </w:p>
    <w:p>
      <w:pPr>
        <w:spacing w:line="440" w:lineRule="exact"/>
        <w:ind w:firstLine="562" w:firstLineChars="200"/>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4采购报名和采购文件的获取</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highlight w:val="green"/>
          <w:lang w:val="en-US" w:eastAsia="zh-CN"/>
        </w:rPr>
      </w:pPr>
      <w:bookmarkStart w:id="0" w:name="_Toc517804008"/>
      <w:bookmarkStart w:id="1" w:name="_Toc3201944"/>
      <w:bookmarkStart w:id="2" w:name="_Toc518044994"/>
      <w:bookmarkStart w:id="3" w:name="_Toc27489"/>
      <w:r>
        <w:rPr>
          <w:rFonts w:hint="eastAsia" w:ascii="仿宋" w:hAnsi="仿宋" w:eastAsia="仿宋" w:cs="仿宋"/>
          <w:bCs/>
          <w:sz w:val="24"/>
          <w:lang w:val="en-US" w:eastAsia="zh-CN"/>
        </w:rPr>
        <w:t>4.1 采购文件的价格为200元/份，采购文件购买后该费用无论何种原因或中选与否均不予退还。采购文件必须通过联系人获取，未通过联系人获取采购文件的均视为无效采购，取消其报价资格。拟报价人必须将付款凭证原件、传真（或扫描后电子邮件）传送至联系人后方可取得采购文件（纸质版或电子版）。纸质版可到采购人处领取，电子版通过微信方式发至报价联系人。</w:t>
      </w:r>
      <w:r>
        <w:rPr>
          <w:rFonts w:hint="eastAsia" w:ascii="仿宋" w:hAnsi="仿宋" w:eastAsia="仿宋" w:cs="仿宋"/>
          <w:bCs/>
          <w:color w:val="000000"/>
          <w:sz w:val="24"/>
          <w:highlight w:val="green"/>
          <w:lang w:eastAsia="zh-CN"/>
        </w:rPr>
        <w:t>报价保证金</w:t>
      </w:r>
      <w:r>
        <w:rPr>
          <w:rFonts w:hint="eastAsia" w:ascii="仿宋" w:hAnsi="仿宋" w:eastAsia="仿宋" w:cs="仿宋"/>
          <w:bCs/>
          <w:color w:val="000000"/>
          <w:sz w:val="24"/>
          <w:highlight w:val="green"/>
          <w:lang w:val="en-US" w:eastAsia="zh-CN"/>
        </w:rPr>
        <w:t>1800元（壹仟捌佰元）</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汇款信息如下（必须是公对公汇款）：</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开户名称：中铝中州铝业有限公司</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开户行：中国工商银行焦作分行中铝支行</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银行账号：1709028019200089451</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default" w:ascii="仿宋" w:hAnsi="仿宋" w:eastAsia="仿宋" w:cs="仿宋"/>
          <w:bCs/>
          <w:sz w:val="24"/>
          <w:lang w:val="en-US" w:eastAsia="zh-CN"/>
        </w:rPr>
      </w:pPr>
      <w:r>
        <w:rPr>
          <w:rFonts w:hint="eastAsia" w:ascii="仿宋" w:hAnsi="仿宋" w:eastAsia="仿宋" w:cs="仿宋"/>
          <w:bCs/>
          <w:sz w:val="24"/>
          <w:lang w:val="en-US" w:eastAsia="zh-CN"/>
        </w:rPr>
        <w:t>汇款备注中，须注明“冯营石灰石矿矿山地质环境保护与恢复治理工程（五期）监理项目采购文件费”“冯营石灰石矿矿山地质环境保护与恢复治理工程（五期）监理项目报价保证金”。</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4.2 购买采购文件时间：自公告之日起至2026年8月2日16:30（北京时间）</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采购文件必须通过联系人获取，未通过联系人获取采购文件的均视为无效采购，取消其报价资格。拟报价人必须将企业营业执照（三证合一）、开户许可证、法人身份证（正反面）、文件费回执等传送至联系人后方可取得采购文件（电子版）。</w:t>
      </w:r>
    </w:p>
    <w:p>
      <w:pPr>
        <w:spacing w:line="440" w:lineRule="exact"/>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5资格审查方式</w:t>
      </w:r>
      <w:bookmarkEnd w:id="0"/>
      <w:bookmarkEnd w:id="1"/>
      <w:bookmarkEnd w:id="2"/>
      <w:bookmarkEnd w:id="3"/>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本次采购资格审查方式采用资格后审，在评审时由评审委员会对报价人进行资格审查。</w:t>
      </w:r>
    </w:p>
    <w:p>
      <w:pPr>
        <w:spacing w:line="440" w:lineRule="exact"/>
        <w:rPr>
          <w:rFonts w:hint="eastAsia" w:ascii="仿宋" w:hAnsi="仿宋" w:eastAsia="仿宋" w:cs="仿宋"/>
          <w:b/>
          <w:bCs w:val="0"/>
          <w:sz w:val="28"/>
          <w:szCs w:val="28"/>
          <w:lang w:val="en-US" w:eastAsia="zh-CN"/>
        </w:rPr>
      </w:pPr>
      <w:bookmarkStart w:id="4" w:name="_Toc3201945"/>
      <w:bookmarkStart w:id="5" w:name="_Toc518044995"/>
      <w:bookmarkStart w:id="6" w:name="_Toc517804009"/>
      <w:bookmarkStart w:id="7" w:name="_Toc9267"/>
      <w:r>
        <w:rPr>
          <w:rFonts w:hint="eastAsia" w:ascii="仿宋" w:hAnsi="仿宋" w:eastAsia="仿宋" w:cs="仿宋"/>
          <w:b/>
          <w:bCs w:val="0"/>
          <w:sz w:val="28"/>
          <w:szCs w:val="28"/>
          <w:lang w:val="en-US" w:eastAsia="zh-CN"/>
        </w:rPr>
        <w:t>6报价文件的递交</w:t>
      </w:r>
      <w:bookmarkEnd w:id="4"/>
      <w:bookmarkEnd w:id="5"/>
      <w:bookmarkEnd w:id="6"/>
      <w:bookmarkEnd w:id="7"/>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6.1 报价文件递交截止时间/报价时间：2026年8月3日10：00（北京时间）。</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6.2 报价及评审地点：生产管控中心生产技术办公室矿山会议室（中州铝业办公楼西保卫部三楼）</w:t>
      </w:r>
    </w:p>
    <w:p>
      <w:pPr>
        <w:spacing w:line="440" w:lineRule="exact"/>
        <w:rPr>
          <w:rFonts w:hint="eastAsia" w:ascii="仿宋" w:hAnsi="仿宋" w:eastAsia="仿宋" w:cs="仿宋"/>
          <w:b/>
          <w:bCs w:val="0"/>
          <w:sz w:val="28"/>
          <w:szCs w:val="28"/>
          <w:lang w:val="en-US" w:eastAsia="zh-CN"/>
        </w:rPr>
      </w:pPr>
      <w:bookmarkStart w:id="8" w:name="_Toc30303"/>
      <w:r>
        <w:rPr>
          <w:rFonts w:hint="eastAsia" w:ascii="仿宋" w:hAnsi="仿宋" w:eastAsia="仿宋" w:cs="仿宋"/>
          <w:b/>
          <w:bCs w:val="0"/>
          <w:sz w:val="28"/>
          <w:szCs w:val="28"/>
          <w:lang w:val="en-US" w:eastAsia="zh-CN"/>
        </w:rPr>
        <w:t>7发布公告的媒介</w:t>
      </w:r>
      <w:bookmarkEnd w:id="8"/>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我公司仅在中铝中州铝业有限公司（https://zzly.chinalco.com.cn/）发布有关该项目的采购信息，我公司郑重提醒各报价人注意：与该项目相关采购事宜均须与我公司指定人员联系，我公司对任何转载信息及由此产生的后果均不承担任何责任。</w:t>
      </w:r>
    </w:p>
    <w:p>
      <w:pPr>
        <w:spacing w:line="440" w:lineRule="exact"/>
        <w:rPr>
          <w:rFonts w:hint="eastAsia" w:ascii="仿宋" w:hAnsi="仿宋" w:eastAsia="仿宋" w:cs="仿宋"/>
          <w:b/>
          <w:bCs w:val="0"/>
          <w:sz w:val="28"/>
          <w:szCs w:val="28"/>
          <w:lang w:val="en-US" w:eastAsia="zh-CN"/>
        </w:rPr>
      </w:pPr>
      <w:bookmarkStart w:id="9" w:name="_Toc22632"/>
      <w:bookmarkStart w:id="10" w:name="_Toc518044997"/>
      <w:bookmarkStart w:id="11" w:name="_Toc3201947"/>
      <w:bookmarkStart w:id="12" w:name="_Toc517804011"/>
      <w:r>
        <w:rPr>
          <w:rFonts w:hint="eastAsia" w:ascii="仿宋" w:hAnsi="仿宋" w:eastAsia="仿宋" w:cs="仿宋"/>
          <w:b/>
          <w:bCs w:val="0"/>
          <w:sz w:val="28"/>
          <w:szCs w:val="28"/>
          <w:lang w:val="en-US" w:eastAsia="zh-CN"/>
        </w:rPr>
        <w:t>8联系方式</w:t>
      </w:r>
      <w:bookmarkEnd w:id="9"/>
      <w:bookmarkEnd w:id="10"/>
      <w:bookmarkEnd w:id="11"/>
      <w:bookmarkEnd w:id="12"/>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采购人：中铝中州铝业有限公司生产管控中心</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地  址：河南省修武县七贤镇中铝中州铝业有限公司</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联系人：王</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电  话：0391-3505375        15544395273（加此微信获取采购文件）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电子邮箱：3245396774@qq.com</w:t>
      </w:r>
    </w:p>
    <w:p>
      <w:pPr>
        <w:spacing w:line="440" w:lineRule="exact"/>
        <w:rPr>
          <w:rFonts w:hint="eastAsia" w:ascii="仿宋" w:hAnsi="仿宋" w:eastAsia="仿宋" w:cs="仿宋"/>
          <w:b/>
          <w:bCs w:val="0"/>
          <w:sz w:val="28"/>
          <w:szCs w:val="28"/>
          <w:lang w:val="en-US" w:eastAsia="zh-CN"/>
        </w:rPr>
      </w:pPr>
      <w:bookmarkStart w:id="13" w:name="_Toc32084"/>
      <w:r>
        <w:rPr>
          <w:rFonts w:hint="eastAsia" w:ascii="仿宋" w:hAnsi="仿宋" w:eastAsia="仿宋" w:cs="仿宋"/>
          <w:b/>
          <w:bCs w:val="0"/>
          <w:sz w:val="28"/>
          <w:szCs w:val="28"/>
          <w:lang w:val="en-US" w:eastAsia="zh-CN"/>
        </w:rPr>
        <w:t>9购买采购文件款请按如下地址汇款</w:t>
      </w:r>
      <w:bookmarkEnd w:id="13"/>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汇款信息如下（必须是公对公汇款）：</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开户名称：中铝中州铝业有限公司</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开户行：中国工商银行焦作分行中铝支行</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银行账号：1709028019200089451</w:t>
      </w:r>
    </w:p>
    <w:p>
      <w:pPr>
        <w:spacing w:line="440" w:lineRule="exact"/>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10监督部门：</w:t>
      </w:r>
      <w:r>
        <w:rPr>
          <w:rFonts w:hint="eastAsia" w:ascii="仿宋" w:hAnsi="仿宋" w:eastAsia="仿宋" w:cs="仿宋"/>
          <w:bCs/>
          <w:sz w:val="24"/>
          <w:lang w:val="en-US" w:eastAsia="zh-CN"/>
        </w:rPr>
        <w:t>投诉举报部门</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中铝中州铝业有限公司：0391-3503580</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中国铝业股份有限公司：010-82298446</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中国铝业集团有限公司：010-82298683</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邮箱：zzlyjw02@126.com</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Q0MjIyMzMyMTlkNDAxNTY2NmYwY2YyZjk4N2FhNDQifQ=="/>
  </w:docVars>
  <w:rsids>
    <w:rsidRoot w:val="00000000"/>
    <w:rsid w:val="00155351"/>
    <w:rsid w:val="00BA7CA7"/>
    <w:rsid w:val="027A3611"/>
    <w:rsid w:val="02F063CD"/>
    <w:rsid w:val="031C6264"/>
    <w:rsid w:val="037B371D"/>
    <w:rsid w:val="037D6B45"/>
    <w:rsid w:val="0393643C"/>
    <w:rsid w:val="03AA4003"/>
    <w:rsid w:val="044E0E32"/>
    <w:rsid w:val="04C4495A"/>
    <w:rsid w:val="05880374"/>
    <w:rsid w:val="05B7748E"/>
    <w:rsid w:val="05C532C6"/>
    <w:rsid w:val="065E79C1"/>
    <w:rsid w:val="06973E80"/>
    <w:rsid w:val="06EC048E"/>
    <w:rsid w:val="08164F8D"/>
    <w:rsid w:val="09027D76"/>
    <w:rsid w:val="0AA27488"/>
    <w:rsid w:val="0B094A63"/>
    <w:rsid w:val="0B2F3A13"/>
    <w:rsid w:val="0C880C59"/>
    <w:rsid w:val="0C9475FE"/>
    <w:rsid w:val="0D7F205C"/>
    <w:rsid w:val="0E1F739B"/>
    <w:rsid w:val="0EEC1B28"/>
    <w:rsid w:val="0F3D3D81"/>
    <w:rsid w:val="10D73F5D"/>
    <w:rsid w:val="11C10E95"/>
    <w:rsid w:val="11DC7A7D"/>
    <w:rsid w:val="122D02D9"/>
    <w:rsid w:val="12451511"/>
    <w:rsid w:val="12FB03D7"/>
    <w:rsid w:val="13F63820"/>
    <w:rsid w:val="142859FB"/>
    <w:rsid w:val="144E2788"/>
    <w:rsid w:val="1464310E"/>
    <w:rsid w:val="14C667C2"/>
    <w:rsid w:val="163065E9"/>
    <w:rsid w:val="165B2217"/>
    <w:rsid w:val="16677B31"/>
    <w:rsid w:val="16D43419"/>
    <w:rsid w:val="171B1048"/>
    <w:rsid w:val="17EC6540"/>
    <w:rsid w:val="190C7CE1"/>
    <w:rsid w:val="19D11E91"/>
    <w:rsid w:val="1AC92B69"/>
    <w:rsid w:val="1B2D3AE4"/>
    <w:rsid w:val="1CCC4B92"/>
    <w:rsid w:val="1D623594"/>
    <w:rsid w:val="20B53F66"/>
    <w:rsid w:val="20D0142F"/>
    <w:rsid w:val="21AA7866"/>
    <w:rsid w:val="21AF0D0A"/>
    <w:rsid w:val="22845119"/>
    <w:rsid w:val="23720241"/>
    <w:rsid w:val="24A563F4"/>
    <w:rsid w:val="24B13AD7"/>
    <w:rsid w:val="28547E75"/>
    <w:rsid w:val="28A714A1"/>
    <w:rsid w:val="29600B3C"/>
    <w:rsid w:val="297840D8"/>
    <w:rsid w:val="2A3C3357"/>
    <w:rsid w:val="2C0B7693"/>
    <w:rsid w:val="2C43774A"/>
    <w:rsid w:val="2D1D4C6D"/>
    <w:rsid w:val="2D67693D"/>
    <w:rsid w:val="2DEC690F"/>
    <w:rsid w:val="2EDD7488"/>
    <w:rsid w:val="30E958BB"/>
    <w:rsid w:val="31B86A3F"/>
    <w:rsid w:val="31D8306E"/>
    <w:rsid w:val="32285F6F"/>
    <w:rsid w:val="339064C2"/>
    <w:rsid w:val="33BC290D"/>
    <w:rsid w:val="346902C6"/>
    <w:rsid w:val="34E40FCA"/>
    <w:rsid w:val="35102E7B"/>
    <w:rsid w:val="351729F7"/>
    <w:rsid w:val="35C76459"/>
    <w:rsid w:val="37C07F75"/>
    <w:rsid w:val="38F4304F"/>
    <w:rsid w:val="38F73281"/>
    <w:rsid w:val="3AAC3BE1"/>
    <w:rsid w:val="3AE96BE3"/>
    <w:rsid w:val="3C3E6CFB"/>
    <w:rsid w:val="3C6A5B02"/>
    <w:rsid w:val="3E0E49C6"/>
    <w:rsid w:val="3EBE79F3"/>
    <w:rsid w:val="3ED2731A"/>
    <w:rsid w:val="3FC30CA2"/>
    <w:rsid w:val="3FE43E1D"/>
    <w:rsid w:val="401A783F"/>
    <w:rsid w:val="406805AA"/>
    <w:rsid w:val="411C2913"/>
    <w:rsid w:val="43E02B4D"/>
    <w:rsid w:val="44590819"/>
    <w:rsid w:val="446724B7"/>
    <w:rsid w:val="45476DEF"/>
    <w:rsid w:val="45C368D4"/>
    <w:rsid w:val="464E0242"/>
    <w:rsid w:val="465B295F"/>
    <w:rsid w:val="46CE4098"/>
    <w:rsid w:val="490F1FF3"/>
    <w:rsid w:val="49695393"/>
    <w:rsid w:val="497955D6"/>
    <w:rsid w:val="49C643CF"/>
    <w:rsid w:val="49E07403"/>
    <w:rsid w:val="4B4843E2"/>
    <w:rsid w:val="4C27758A"/>
    <w:rsid w:val="4CFD651E"/>
    <w:rsid w:val="4EDB288F"/>
    <w:rsid w:val="51735001"/>
    <w:rsid w:val="523C1897"/>
    <w:rsid w:val="52F83A10"/>
    <w:rsid w:val="538C00C5"/>
    <w:rsid w:val="550A42E0"/>
    <w:rsid w:val="56140091"/>
    <w:rsid w:val="5716224D"/>
    <w:rsid w:val="571748E3"/>
    <w:rsid w:val="581D594B"/>
    <w:rsid w:val="59395101"/>
    <w:rsid w:val="5AFD146D"/>
    <w:rsid w:val="5B5434A8"/>
    <w:rsid w:val="5B5E287E"/>
    <w:rsid w:val="5BF154A0"/>
    <w:rsid w:val="5C031BC4"/>
    <w:rsid w:val="5C0F4FE4"/>
    <w:rsid w:val="5D6F11AF"/>
    <w:rsid w:val="5DA3376E"/>
    <w:rsid w:val="5E863CA9"/>
    <w:rsid w:val="5EC155FD"/>
    <w:rsid w:val="5F7F56ED"/>
    <w:rsid w:val="603248F4"/>
    <w:rsid w:val="60662791"/>
    <w:rsid w:val="62272952"/>
    <w:rsid w:val="62DF10A6"/>
    <w:rsid w:val="63875FB1"/>
    <w:rsid w:val="64D50E4D"/>
    <w:rsid w:val="651E6BDA"/>
    <w:rsid w:val="652D5C58"/>
    <w:rsid w:val="65D0673C"/>
    <w:rsid w:val="662D3262"/>
    <w:rsid w:val="66636F9A"/>
    <w:rsid w:val="66CD3A0C"/>
    <w:rsid w:val="67916D24"/>
    <w:rsid w:val="68103152"/>
    <w:rsid w:val="68554ED4"/>
    <w:rsid w:val="69856C60"/>
    <w:rsid w:val="6A627023"/>
    <w:rsid w:val="6B3E73F7"/>
    <w:rsid w:val="6BAD0EBB"/>
    <w:rsid w:val="6C092392"/>
    <w:rsid w:val="6C4D6722"/>
    <w:rsid w:val="6CC43549"/>
    <w:rsid w:val="6D0D7C60"/>
    <w:rsid w:val="6D8242FF"/>
    <w:rsid w:val="6E9F6FDD"/>
    <w:rsid w:val="6EA07640"/>
    <w:rsid w:val="6EC711C7"/>
    <w:rsid w:val="6EFB29F9"/>
    <w:rsid w:val="6F060E0B"/>
    <w:rsid w:val="6F273B31"/>
    <w:rsid w:val="707814EF"/>
    <w:rsid w:val="70AD26B9"/>
    <w:rsid w:val="71E52089"/>
    <w:rsid w:val="71ED7056"/>
    <w:rsid w:val="728F1117"/>
    <w:rsid w:val="732C01D1"/>
    <w:rsid w:val="73DD17AE"/>
    <w:rsid w:val="73E01C41"/>
    <w:rsid w:val="740578E3"/>
    <w:rsid w:val="74624D35"/>
    <w:rsid w:val="75181898"/>
    <w:rsid w:val="7568697B"/>
    <w:rsid w:val="77720653"/>
    <w:rsid w:val="77E572A5"/>
    <w:rsid w:val="77F55EC0"/>
    <w:rsid w:val="780D4FB8"/>
    <w:rsid w:val="78355FAD"/>
    <w:rsid w:val="79246A5D"/>
    <w:rsid w:val="7A22256E"/>
    <w:rsid w:val="7A2A7DCB"/>
    <w:rsid w:val="7B564EC8"/>
    <w:rsid w:val="7B747B10"/>
    <w:rsid w:val="7B9A4DB4"/>
    <w:rsid w:val="7D5B2A16"/>
    <w:rsid w:val="7F062761"/>
    <w:rsid w:val="7F0B2B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9"/>
    <w:pPr>
      <w:keepNext/>
      <w:keepLines/>
      <w:spacing w:line="360" w:lineRule="auto"/>
      <w:jc w:val="center"/>
      <w:outlineLvl w:val="0"/>
    </w:pPr>
    <w:rPr>
      <w:rFonts w:ascii="黑体" w:hAnsi="宋体" w:eastAsia="黑体"/>
      <w:kern w:val="44"/>
      <w:sz w:val="30"/>
      <w:szCs w:val="44"/>
    </w:rPr>
  </w:style>
  <w:style w:type="paragraph" w:styleId="5">
    <w:name w:val="heading 2"/>
    <w:basedOn w:val="1"/>
    <w:next w:val="1"/>
    <w:qFormat/>
    <w:uiPriority w:val="0"/>
    <w:pPr>
      <w:keepNext/>
      <w:keepLines/>
      <w:tabs>
        <w:tab w:val="left" w:pos="0"/>
      </w:tabs>
      <w:suppressAutoHyphens/>
      <w:spacing w:before="260" w:after="260" w:line="408" w:lineRule="auto"/>
      <w:ind w:left="576" w:hanging="576"/>
      <w:outlineLvl w:val="1"/>
    </w:pPr>
    <w:rPr>
      <w:rFonts w:ascii="Arial" w:hAnsi="Arial" w:eastAsia="黑体"/>
      <w:b/>
      <w:bCs/>
      <w:sz w:val="32"/>
      <w:szCs w:val="32"/>
      <w:lang w:eastAsia="ar-SA"/>
    </w:rPr>
  </w:style>
  <w:style w:type="character" w:default="1" w:styleId="13">
    <w:name w:val="Default Paragraph Font"/>
    <w:semiHidden/>
    <w:qFormat/>
    <w:uiPriority w:val="0"/>
  </w:style>
  <w:style w:type="table" w:default="1" w:styleId="12">
    <w:name w:val="Normal Table"/>
    <w:semiHidden/>
    <w:qFormat/>
    <w:uiPriority w:val="0"/>
    <w:tblPr>
      <w:tblLayout w:type="fixed"/>
      <w:tblCellMar>
        <w:top w:w="0" w:type="dxa"/>
        <w:left w:w="108" w:type="dxa"/>
        <w:bottom w:w="0" w:type="dxa"/>
        <w:right w:w="108" w:type="dxa"/>
      </w:tblCellMar>
    </w:tblPr>
  </w:style>
  <w:style w:type="paragraph" w:styleId="2">
    <w:name w:val="Body Text First Indent"/>
    <w:basedOn w:val="3"/>
    <w:next w:val="1"/>
    <w:qFormat/>
    <w:uiPriority w:val="0"/>
    <w:pPr>
      <w:widowControl w:val="0"/>
      <w:spacing w:after="120"/>
      <w:ind w:firstLine="420" w:firstLineChars="100"/>
      <w:jc w:val="both"/>
    </w:pPr>
    <w:rPr>
      <w:kern w:val="2"/>
      <w:sz w:val="21"/>
      <w:szCs w:val="24"/>
      <w:lang w:val="en-US" w:eastAsia="zh-CN" w:bidi="ar-SA"/>
    </w:rPr>
  </w:style>
  <w:style w:type="paragraph" w:styleId="3">
    <w:name w:val="Body Text"/>
    <w:basedOn w:val="1"/>
    <w:next w:val="1"/>
    <w:qFormat/>
    <w:uiPriority w:val="0"/>
    <w:pPr>
      <w:spacing w:after="120"/>
    </w:pPr>
  </w:style>
  <w:style w:type="paragraph" w:styleId="6">
    <w:name w:val="index 8"/>
    <w:basedOn w:val="1"/>
    <w:next w:val="1"/>
    <w:qFormat/>
    <w:uiPriority w:val="0"/>
    <w:pPr>
      <w:ind w:left="0" w:firstLine="800" w:firstLineChars="200"/>
    </w:pPr>
    <w:rPr>
      <w:rFonts w:ascii="Calibri" w:hAnsi="Calibri" w:eastAsia="仿宋_GB2312" w:cs="Times New Roman"/>
      <w:sz w:val="32"/>
    </w:rPr>
  </w:style>
  <w:style w:type="paragraph" w:styleId="7">
    <w:name w:val="Normal Indent"/>
    <w:basedOn w:val="1"/>
    <w:qFormat/>
    <w:uiPriority w:val="0"/>
    <w:pPr>
      <w:spacing w:line="360" w:lineRule="auto"/>
      <w:ind w:firstLine="200" w:firstLineChars="200"/>
    </w:pPr>
    <w:rPr>
      <w:rFonts w:ascii="宋体" w:hAnsi="宋体"/>
      <w:sz w:val="24"/>
      <w:szCs w:val="20"/>
    </w:rPr>
  </w:style>
  <w:style w:type="paragraph" w:styleId="8">
    <w:name w:val="annotation text"/>
    <w:basedOn w:val="1"/>
    <w:qFormat/>
    <w:uiPriority w:val="0"/>
    <w:pPr>
      <w:jc w:val="left"/>
    </w:pPr>
    <w:rPr>
      <w:rFonts w:ascii="Calibri" w:hAnsi="Calibri" w:eastAsia="宋体" w:cs="Times New Roman"/>
    </w:rPr>
  </w:style>
  <w:style w:type="paragraph" w:styleId="9">
    <w:name w:val="Body Text Indent"/>
    <w:basedOn w:val="1"/>
    <w:next w:val="7"/>
    <w:qFormat/>
    <w:uiPriority w:val="0"/>
    <w:pPr>
      <w:widowControl/>
      <w:spacing w:after="120" w:afterAutospacing="0"/>
      <w:ind w:left="420" w:leftChars="200"/>
      <w:jc w:val="left"/>
    </w:pPr>
    <w:rPr>
      <w:kern w:val="0"/>
      <w:sz w:val="20"/>
      <w:szCs w:val="20"/>
      <w:lang w:val="en-GB" w:eastAsia="en-US"/>
    </w:rPr>
  </w:style>
  <w:style w:type="paragraph" w:styleId="10">
    <w:name w:val="Body Text 2"/>
    <w:basedOn w:val="1"/>
    <w:next w:val="3"/>
    <w:qFormat/>
    <w:uiPriority w:val="0"/>
    <w:pPr>
      <w:spacing w:after="120" w:line="480" w:lineRule="auto"/>
    </w:pPr>
  </w:style>
  <w:style w:type="paragraph" w:styleId="11">
    <w:name w:val="Body Text First Indent 2"/>
    <w:basedOn w:val="9"/>
    <w:unhideWhenUsed/>
    <w:qFormat/>
    <w:uiPriority w:val="99"/>
    <w:pPr>
      <w:spacing w:before="100" w:beforeAutospacing="1"/>
      <w:ind w:left="200" w:firstLine="420"/>
    </w:pPr>
  </w:style>
  <w:style w:type="character" w:customStyle="1" w:styleId="14">
    <w:name w:val="font12"/>
    <w:basedOn w:val="13"/>
    <w:qFormat/>
    <w:uiPriority w:val="0"/>
    <w:rPr>
      <w:rFonts w:hint="eastAsia" w:ascii="仿宋" w:hAnsi="仿宋" w:eastAsia="仿宋" w:cs="仿宋"/>
      <w:b/>
      <w:bCs/>
      <w:color w:val="000000"/>
      <w:sz w:val="24"/>
      <w:szCs w:val="24"/>
      <w:u w:val="none"/>
    </w:rPr>
  </w:style>
  <w:style w:type="character" w:customStyle="1" w:styleId="15">
    <w:name w:val="font111"/>
    <w:basedOn w:val="13"/>
    <w:qFormat/>
    <w:uiPriority w:val="0"/>
    <w:rPr>
      <w:rFonts w:hint="eastAsia" w:ascii="宋体" w:hAnsi="宋体" w:eastAsia="宋体" w:cs="宋体"/>
      <w:color w:val="000000"/>
      <w:sz w:val="22"/>
      <w:szCs w:val="22"/>
      <w:u w:val="none"/>
    </w:rPr>
  </w:style>
  <w:style w:type="character" w:customStyle="1" w:styleId="16">
    <w:name w:val="font122"/>
    <w:basedOn w:val="13"/>
    <w:qFormat/>
    <w:uiPriority w:val="0"/>
    <w:rPr>
      <w:rFonts w:hint="eastAsia" w:ascii="仿宋" w:hAnsi="仿宋" w:eastAsia="仿宋" w:cs="仿宋"/>
      <w:color w:val="000000"/>
      <w:sz w:val="24"/>
      <w:szCs w:val="24"/>
      <w:u w:val="none"/>
    </w:rPr>
  </w:style>
  <w:style w:type="character" w:customStyle="1" w:styleId="17">
    <w:name w:val="font221"/>
    <w:basedOn w:val="13"/>
    <w:qFormat/>
    <w:uiPriority w:val="0"/>
    <w:rPr>
      <w:rFonts w:hint="eastAsia" w:ascii="仿宋" w:hAnsi="仿宋" w:eastAsia="仿宋" w:cs="仿宋"/>
      <w:color w:val="000000"/>
      <w:sz w:val="20"/>
      <w:szCs w:val="20"/>
      <w:u w:val="none"/>
      <w:vertAlign w:val="subscript"/>
    </w:rPr>
  </w:style>
  <w:style w:type="paragraph" w:customStyle="1" w:styleId="18">
    <w:name w:val="列出段落1"/>
    <w:basedOn w:val="1"/>
    <w:qFormat/>
    <w:uiPriority w:val="0"/>
    <w:pPr>
      <w:ind w:firstLine="420" w:firstLineChars="200"/>
    </w:pPr>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1997</Words>
  <Characters>2333</Characters>
  <Lines>0</Lines>
  <Paragraphs>0</Paragraphs>
  <TotalTime>15</TotalTime>
  <ScaleCrop>false</ScaleCrop>
  <LinksUpToDate>false</LinksUpToDate>
  <CharactersWithSpaces>2365</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2023-06-16T02:53:00Z</dcterms:created>
  <dc:creator>Administrator</dc:creator>
  <cp:lastModifiedBy>Administrator</cp:lastModifiedBy>
  <dcterms:modified xsi:type="dcterms:W3CDTF">2026-07-28T07:58:13Z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E2998739EB744DF798B4578CEF13DF38_13</vt:lpwstr>
  </property>
</Properties>
</file>