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after="156" w:line="360" w:lineRule="auto"/>
        <w:jc w:val="center"/>
        <w:textAlignment w:val="baseline"/>
        <w:rPr>
          <w:rFonts w:hint="eastAsia" w:ascii="黑体" w:hAnsi="黑体" w:eastAsia="黑体" w:cs="黑体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禹州市</w:t>
      </w:r>
      <w:r>
        <w:rPr>
          <w:rFonts w:hint="eastAsia" w:ascii="黑体" w:hAnsi="黑体" w:eastAsia="黑体" w:cs="黑体"/>
          <w:bCs/>
          <w:sz w:val="36"/>
          <w:szCs w:val="36"/>
          <w:lang w:val="zh-CN" w:eastAsia="zh-CN"/>
        </w:rPr>
        <w:t>银洞山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铝土矿废石场岩土工程勘察报告编制项目采购公告</w:t>
      </w:r>
    </w:p>
    <w:p>
      <w:pPr>
        <w:snapToGrid w:val="0"/>
        <w:spacing w:before="156" w:after="156" w:line="360" w:lineRule="auto"/>
        <w:jc w:val="center"/>
        <w:textAlignment w:val="baseline"/>
        <w:rPr>
          <w:rFonts w:hint="default" w:ascii="Calibri" w:hAnsi="Calibri" w:eastAsia="宋体" w:cs="Times New Roman"/>
          <w:b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采购编号：</w:t>
      </w: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CG-ZZ-202609-SCGK-SCJSK-001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1采购条件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_GB2312" w:eastAsia="仿宋_GB2312" w:cs="Times New Roman"/>
          <w:bCs/>
          <w:sz w:val="24"/>
          <w:lang w:eastAsia="zh-CN"/>
        </w:rPr>
        <w:t>禹州市银洞山铝土矿废石场岩土工程勘察报告编制项目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已具备采购条件，资金自筹且已落实。采购人为：中铝中州铝业有限公司生产管控中心。采购人对该项目进行谈判采购，报价方式为现场报价。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2项目概况及采购范围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2.1项目名称：</w:t>
      </w:r>
      <w:r>
        <w:rPr>
          <w:rFonts w:hint="eastAsia" w:ascii="仿宋_GB2312" w:eastAsia="仿宋_GB2312" w:cs="Times New Roman"/>
          <w:bCs/>
          <w:sz w:val="24"/>
          <w:lang w:eastAsia="zh-CN"/>
        </w:rPr>
        <w:t>禹州市银洞山铝土矿废石场岩土工程勘察报告编制项目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default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2.2项目类型：服务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2.3项目概况：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矿山开采的矿种为铝土矿，采用露天开采方式，</w:t>
      </w:r>
      <w:r>
        <w:rPr>
          <w:rFonts w:hint="default" w:ascii="仿宋_GB2312" w:eastAsia="仿宋_GB2312" w:cs="Times New Roman"/>
          <w:color w:val="FF0000"/>
          <w:sz w:val="24"/>
          <w:szCs w:val="24"/>
          <w:lang w:val="en-US"/>
        </w:rPr>
        <w:t>共设1个废石场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，废石场设计布置在矿区中部沟谷中，占地面积约1.2209×10</w:t>
      </w:r>
      <w:r>
        <w:rPr>
          <w:rFonts w:hint="default" w:ascii="仿宋_GB2312" w:eastAsia="仿宋_GB2312" w:cs="Times New Roman"/>
          <w:sz w:val="24"/>
          <w:szCs w:val="24"/>
          <w:vertAlign w:val="superscript"/>
          <w:lang w:val="en-US"/>
        </w:rPr>
        <w:t>4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m</w:t>
      </w:r>
      <w:r>
        <w:rPr>
          <w:rFonts w:hint="default" w:ascii="仿宋_GB2312" w:eastAsia="仿宋_GB2312" w:cs="Times New Roman"/>
          <w:sz w:val="24"/>
          <w:szCs w:val="24"/>
          <w:vertAlign w:val="superscript"/>
          <w:lang w:val="en-US"/>
        </w:rPr>
        <w:t>2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，堆置标高范围291m-325m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2.4项目地点：</w:t>
      </w:r>
      <w:r>
        <w:rPr>
          <w:rFonts w:hint="eastAsia" w:ascii="仿宋_GB2312" w:eastAsia="仿宋_GB2312" w:cs="Times New Roman"/>
          <w:bCs/>
          <w:sz w:val="24"/>
          <w:lang w:val="en-US" w:eastAsia="zh-CN"/>
        </w:rPr>
        <w:t>禹州市</w:t>
      </w:r>
      <w:r>
        <w:rPr>
          <w:rFonts w:ascii="仿宋_GB2312" w:eastAsia="仿宋_GB2312" w:cs="Times New Roman"/>
          <w:bCs/>
          <w:sz w:val="24"/>
          <w:lang w:val="zh-CN"/>
        </w:rPr>
        <w:t>磨街乡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2.5主要工作内容及质量标准要求：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2.5.1主要内容：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_GB2312" w:eastAsia="仿宋_GB2312" w:cs="Times New Roman"/>
          <w:sz w:val="24"/>
          <w:szCs w:val="24"/>
          <w:lang w:val="zh-CN"/>
        </w:rPr>
        <w:t>对禹州市银洞山铝土矿废石场进行工程地质勘察，并根据勘察结果，编制《废石场岩土工程勘察报告》，为废石场岩土工程评价和边坡稳定性分析提供基础资料，为矿区露天开采初步设计和安全设施设计提供技术支撑。银洞山</w:t>
      </w:r>
      <w:r>
        <w:rPr>
          <w:rFonts w:hint="eastAsia" w:ascii="仿宋_GB2312" w:eastAsia="仿宋_GB2312" w:cs="Times New Roman"/>
          <w:sz w:val="24"/>
          <w:szCs w:val="24"/>
          <w:lang w:val="zh-CN" w:eastAsia="zh-CN"/>
        </w:rPr>
        <w:t>铝土矿</w:t>
      </w:r>
      <w:r>
        <w:rPr>
          <w:rFonts w:hint="eastAsia" w:ascii="仿宋_GB2312" w:eastAsia="仿宋_GB2312" w:cs="Times New Roman"/>
          <w:sz w:val="24"/>
          <w:szCs w:val="24"/>
          <w:lang w:val="zh-CN"/>
        </w:rPr>
        <w:t>废石场岩土工程勘察报告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要符合《有色金属工业岩土工程勘察规范》（GB 51099-2015）要求，满足</w:t>
      </w:r>
      <w:r>
        <w:rPr>
          <w:rFonts w:hint="eastAsia" w:ascii="仿宋_GB2312" w:eastAsia="仿宋_GB2312" w:cs="Times New Roman"/>
          <w:sz w:val="24"/>
          <w:szCs w:val="24"/>
          <w:lang w:val="zh-CN" w:eastAsia="zh-CN"/>
        </w:rPr>
        <w:t>银洞山铝土矿边坡稳定性分析、矿山初步设计和安全设施设计需要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2.5.2质量要求：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符合《有色金属工业岩土工程勘察规范》（GB 510992015）、《冶金矿山排土场设计规范》（GB 511192015）等非煤矿山工程地质勘察相关规范，满足边坡稳定性报告编制要求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及</w:t>
      </w:r>
      <w:r>
        <w:rPr>
          <w:rFonts w:hint="eastAsia" w:ascii="仿宋_GB2312" w:eastAsia="仿宋_GB2312" w:cs="Times New Roman"/>
          <w:sz w:val="24"/>
          <w:szCs w:val="24"/>
          <w:lang w:val="zh-CN" w:eastAsia="zh-CN"/>
        </w:rPr>
        <w:t>矿山初步设计和安全设施设计需要</w:t>
      </w:r>
      <w:r>
        <w:rPr>
          <w:rFonts w:hint="default" w:ascii="仿宋_GB2312" w:eastAsia="仿宋_GB2312" w:cs="Times New Roman"/>
          <w:sz w:val="24"/>
          <w:szCs w:val="24"/>
          <w:lang w:val="en-US"/>
        </w:rPr>
        <w:t>，资料齐全、内容完整，通过甲方组织的专家评审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2.6报价注意事项：无。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2.7其他要求：见合同格式中的相应条款。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default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2.8工期：</w:t>
      </w:r>
      <w:r>
        <w:rPr>
          <w:rFonts w:hint="eastAsia" w:ascii="仿宋_GB2312" w:eastAsia="仿宋_GB2312" w:cs="Times New Roman"/>
          <w:sz w:val="24"/>
          <w:szCs w:val="24"/>
          <w:lang w:val="zh-CN" w:eastAsia="zh-CN"/>
        </w:rPr>
        <w:t>自合同签订之日起</w:t>
      </w:r>
      <w:r>
        <w:rPr>
          <w:rFonts w:hint="default" w:ascii="仿宋_GB2312" w:eastAsia="仿宋_GB2312" w:cs="Times New Roman"/>
          <w:sz w:val="24"/>
          <w:szCs w:val="24"/>
          <w:lang w:val="en-US" w:eastAsia="zh-CN"/>
        </w:rPr>
        <w:t>15</w:t>
      </w:r>
      <w:r>
        <w:rPr>
          <w:rFonts w:hint="eastAsia" w:ascii="仿宋_GB2312" w:eastAsia="仿宋_GB2312" w:cs="Times New Roman"/>
          <w:sz w:val="24"/>
          <w:szCs w:val="24"/>
          <w:lang w:val="zh-CN"/>
        </w:rPr>
        <w:t>天完成岩土工程勘察报告，并完成评审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。</w:t>
      </w:r>
    </w:p>
    <w:p>
      <w:pPr>
        <w:spacing w:line="440" w:lineRule="exact"/>
        <w:ind w:firstLine="562" w:firstLineChars="200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3报价人资格要求</w:t>
      </w:r>
    </w:p>
    <w:p>
      <w:pPr>
        <w:spacing w:line="400" w:lineRule="exact"/>
        <w:ind w:firstLine="480"/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.1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报价人应为中华人民共和国境内的独立法人或其他组织，提供有效的营业执照扫描件；</w:t>
      </w:r>
    </w:p>
    <w:p>
      <w:pPr>
        <w:spacing w:line="400" w:lineRule="exact"/>
        <w:ind w:firstLine="480"/>
        <w:rPr>
          <w:rFonts w:ascii="仿宋_GB2312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eastAsia="仿宋_GB2312" w:cs="Times New Roman"/>
          <w:bCs/>
          <w:sz w:val="24"/>
          <w:szCs w:val="24"/>
          <w:lang w:val="en-US" w:eastAsia="zh-CN" w:bidi="ar-SA"/>
        </w:rPr>
        <w:t>.2</w:t>
      </w: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具备工程勘察类资质；</w:t>
      </w:r>
      <w:r>
        <w:rPr>
          <w:rFonts w:ascii="仿宋_GB2312" w:eastAsia="仿宋_GB2312" w:cs="Times New Roman"/>
          <w:bCs/>
          <w:sz w:val="24"/>
          <w:szCs w:val="24"/>
          <w:lang w:val="en-US" w:eastAsia="zh-CN" w:bidi="ar-SA"/>
        </w:rPr>
        <w:t>具备履行合同的能力，包括资质状况，专业、技术资格和能力，资金、设备和其他设施状况，管理能力，经验、信誉和相应的从业人员；</w:t>
      </w:r>
    </w:p>
    <w:p>
      <w:pPr>
        <w:spacing w:line="400" w:lineRule="exact"/>
        <w:ind w:firstLine="480"/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.3报价人没有处于被责令停业，报价资格没有被取消，财产没有被接管、冻结、破产状态；在最近三年内没有骗取中选和严重违约及重大质量问题；</w:t>
      </w:r>
    </w:p>
    <w:p>
      <w:pPr>
        <w:spacing w:line="400" w:lineRule="exact"/>
        <w:ind w:firstLine="480"/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.4在承接类似于本项目的相关业务中，没有出现报价人负主要责任的安全、技术、质量、商务等纠纷，没有产生严重后果，造成重大经济损失，不得在招报价数据库中存在不良记录；</w:t>
      </w:r>
    </w:p>
    <w:p>
      <w:pPr>
        <w:spacing w:line="400" w:lineRule="exact"/>
        <w:ind w:firstLine="480"/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.</w:t>
      </w: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5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信誉要求：报价人在全国法院失信被执行人名单信息公布与查询网(http://zxgk.court.gov.cn)和国家发展改革委信用中国(www.creditchina.gov.cn）网站上未被列入失信被执行人、重大税收违法案件当事人名单；未列入中铝集团有限公司承包商黑名单。</w:t>
      </w:r>
    </w:p>
    <w:p>
      <w:pPr>
        <w:spacing w:line="400" w:lineRule="exact"/>
        <w:ind w:firstLine="480"/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.</w:t>
      </w: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6</w:t>
      </w:r>
      <w:r>
        <w:rPr>
          <w:rFonts w:ascii="仿宋_GB2312" w:hAnsi="Calibri" w:eastAsia="仿宋_GB2312" w:cs="Times New Roman"/>
          <w:bCs/>
          <w:sz w:val="24"/>
          <w:szCs w:val="24"/>
          <w:lang w:val="en-US" w:eastAsia="zh-CN" w:bidi="ar-SA"/>
        </w:rPr>
        <w:t>具备法律、行政法规规定的其他资格条件。</w:t>
      </w:r>
    </w:p>
    <w:p>
      <w:pPr>
        <w:spacing w:line="400" w:lineRule="exact"/>
        <w:ind w:firstLine="480"/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.</w:t>
      </w: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7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本项目不允许联合体报价。</w:t>
      </w:r>
    </w:p>
    <w:p>
      <w:pPr>
        <w:spacing w:line="400" w:lineRule="exact"/>
        <w:ind w:firstLine="480"/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3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.</w:t>
      </w:r>
      <w:r>
        <w:rPr>
          <w:rFonts w:hint="eastAsia" w:ascii="仿宋_GB2312" w:eastAsia="仿宋_GB2312" w:cs="Times New Roman"/>
          <w:bCs/>
          <w:sz w:val="24"/>
          <w:szCs w:val="24"/>
          <w:lang w:val="en-US" w:eastAsia="zh-CN" w:bidi="ar-SA"/>
        </w:rPr>
        <w:t>8</w:t>
      </w:r>
      <w:r>
        <w:rPr>
          <w:rFonts w:hint="eastAsia" w:ascii="仿宋_GB2312" w:hAnsi="Calibri" w:eastAsia="仿宋_GB2312" w:cs="Times New Roman"/>
          <w:bCs/>
          <w:sz w:val="24"/>
          <w:szCs w:val="24"/>
          <w:lang w:val="en-US" w:eastAsia="zh-CN" w:bidi="ar-SA"/>
        </w:rPr>
        <w:t>报价人的安全能力能满足采购文件的要求，包括资质能力、管理能力、人员能力、绩效能力等</w:t>
      </w:r>
    </w:p>
    <w:p>
      <w:pPr>
        <w:spacing w:line="440" w:lineRule="exact"/>
        <w:ind w:firstLine="562" w:firstLineChars="200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4采购报名和采购文件的获取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bookmarkStart w:id="0" w:name="_Toc3201944"/>
      <w:bookmarkStart w:id="1" w:name="_Toc517804008"/>
      <w:bookmarkStart w:id="2" w:name="_Toc27489"/>
      <w:bookmarkStart w:id="3" w:name="_Toc518044994"/>
      <w:r>
        <w:rPr>
          <w:rFonts w:hint="eastAsia" w:ascii="仿宋" w:hAnsi="仿宋" w:eastAsia="仿宋" w:cs="仿宋"/>
          <w:bCs/>
          <w:sz w:val="24"/>
          <w:lang w:val="en-US" w:eastAsia="zh-CN"/>
        </w:rPr>
        <w:t>4.1 采购文件的价格为200元/份，采购文件购买后该费用无论何种原因或中选与否均不予退还。采购文件必须通过联系人获取，未通过联系人获取采购文件的均视为无效采购，取消其报价资格。拟报价人必须将付款凭证原件、传真（或扫描后电子邮件）传送至联系人后方可取得采购文件（纸质版或电子版）。纸质版可到采购人处领取，电子版通过微信方式发至报价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highlight w:val="green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4"/>
          <w:highlight w:val="green"/>
          <w:lang w:eastAsia="zh-CN"/>
        </w:rPr>
        <w:t>报价保证金</w:t>
      </w:r>
      <w:r>
        <w:rPr>
          <w:rFonts w:hint="eastAsia" w:ascii="仿宋" w:hAnsi="仿宋" w:eastAsia="仿宋" w:cs="仿宋"/>
          <w:bCs/>
          <w:color w:val="000000"/>
          <w:sz w:val="24"/>
          <w:highlight w:val="green"/>
          <w:lang w:val="en-US" w:eastAsia="zh-CN"/>
        </w:rPr>
        <w:t>2000元（贰仟元整）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汇款信息如下（必须是公对公汇款）：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开户名称：中铝中州矿业有限公司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开户行：中国银行焦作山阳支行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default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银行账号：259865455392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default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汇款备注中，须注明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</w:rPr>
        <w:t>“</w:t>
      </w:r>
      <w:r>
        <w:rPr>
          <w:rFonts w:hint="eastAsia" w:ascii="仿宋_GB2312" w:eastAsia="仿宋_GB2312" w:cs="Times New Roman"/>
          <w:bCs/>
          <w:sz w:val="24"/>
          <w:lang w:val="zh-CN"/>
        </w:rPr>
        <w:t>银洞山</w:t>
      </w:r>
      <w:r>
        <w:rPr>
          <w:rFonts w:hint="eastAsia" w:ascii="仿宋_GB2312" w:eastAsia="仿宋_GB2312" w:cs="Times New Roman"/>
          <w:bCs/>
          <w:sz w:val="24"/>
          <w:lang w:eastAsia="zh-CN"/>
        </w:rPr>
        <w:t>铝土矿废石场</w:t>
      </w:r>
      <w:r>
        <w:rPr>
          <w:rFonts w:hint="eastAsia" w:ascii="仿宋_GB2312" w:eastAsia="仿宋_GB2312" w:cs="Times New Roman"/>
          <w:sz w:val="24"/>
          <w:szCs w:val="24"/>
          <w:lang w:val="zh-CN"/>
        </w:rPr>
        <w:t>岩土工程勘察</w:t>
      </w:r>
      <w:r>
        <w:rPr>
          <w:rFonts w:hint="eastAsia" w:ascii="仿宋_GB2312" w:eastAsia="仿宋_GB2312" w:cs="Times New Roman"/>
          <w:bCs/>
          <w:sz w:val="24"/>
          <w:lang w:eastAsia="zh-CN"/>
        </w:rPr>
        <w:t>报告编制项目</w:t>
      </w:r>
      <w:r>
        <w:rPr>
          <w:rFonts w:hint="eastAsia" w:ascii="仿宋_GB2312" w:eastAsia="仿宋_GB2312"/>
          <w:bCs/>
          <w:color w:val="000000"/>
          <w:sz w:val="24"/>
          <w:highlight w:val="none"/>
        </w:rPr>
        <w:t>采购文件费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</w:rPr>
        <w:t>“</w:t>
      </w:r>
      <w:r>
        <w:rPr>
          <w:rFonts w:hint="eastAsia" w:ascii="仿宋_GB2312" w:eastAsia="仿宋_GB2312" w:cs="Times New Roman"/>
          <w:bCs/>
          <w:sz w:val="24"/>
          <w:lang w:val="zh-CN"/>
        </w:rPr>
        <w:t>银洞山</w:t>
      </w:r>
      <w:r>
        <w:rPr>
          <w:rFonts w:hint="eastAsia" w:ascii="仿宋_GB2312" w:eastAsia="仿宋_GB2312" w:cs="Times New Roman"/>
          <w:bCs/>
          <w:sz w:val="24"/>
          <w:lang w:eastAsia="zh-CN"/>
        </w:rPr>
        <w:t>铝土矿废石场</w:t>
      </w:r>
      <w:r>
        <w:rPr>
          <w:rFonts w:hint="eastAsia" w:ascii="仿宋_GB2312" w:eastAsia="仿宋_GB2312" w:cs="Times New Roman"/>
          <w:sz w:val="24"/>
          <w:szCs w:val="24"/>
          <w:lang w:val="zh-CN"/>
        </w:rPr>
        <w:t>岩土工程勘察</w:t>
      </w:r>
      <w:r>
        <w:rPr>
          <w:rFonts w:hint="eastAsia" w:ascii="仿宋_GB2312" w:eastAsia="仿宋_GB2312" w:cs="Times New Roman"/>
          <w:bCs/>
          <w:sz w:val="24"/>
          <w:lang w:eastAsia="zh-CN"/>
        </w:rPr>
        <w:t>报告编制项目</w:t>
      </w:r>
      <w:r>
        <w:rPr>
          <w:rFonts w:hint="eastAsia" w:ascii="仿宋_GB2312" w:eastAsia="仿宋_GB2312"/>
          <w:bCs/>
          <w:color w:val="000000"/>
          <w:sz w:val="24"/>
          <w:highlight w:val="none"/>
          <w:lang w:eastAsia="zh-CN"/>
        </w:rPr>
        <w:t>报价保证金</w:t>
      </w:r>
      <w:r>
        <w:rPr>
          <w:rFonts w:hint="eastAsia" w:ascii="仿宋_GB2312" w:hAnsi="仿宋_GB2312" w:eastAsia="仿宋_GB2312" w:cs="仿宋_GB2312"/>
          <w:color w:val="000000"/>
          <w:sz w:val="24"/>
          <w:highlight w:val="none"/>
        </w:rPr>
        <w:t>”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4.2 购买采购文件时间：自公告之日起至2026年9月17日20:00（北京时间）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采购文件必须通过联系人获取，未通过联系人获取采购文件的均视为无效采购，取消其报价资格。拟报价人必须将企业营业执照（三证合一）、开户许可证、法人身份证（正反面）、文件费</w:t>
      </w:r>
      <w:bookmarkStart w:id="14" w:name="_GoBack"/>
      <w:bookmarkEnd w:id="14"/>
      <w:r>
        <w:rPr>
          <w:rFonts w:hint="eastAsia" w:ascii="仿宋" w:hAnsi="仿宋" w:eastAsia="仿宋" w:cs="仿宋"/>
          <w:bCs/>
          <w:sz w:val="24"/>
          <w:lang w:val="en-US" w:eastAsia="zh-CN"/>
        </w:rPr>
        <w:t>回执等传送至联系人后方可取得采购文件（电子版）。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5资格审查方式</w:t>
      </w:r>
      <w:bookmarkEnd w:id="0"/>
      <w:bookmarkEnd w:id="1"/>
      <w:bookmarkEnd w:id="2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本次采购资格审查方式采用资格后审，在评审时由评审委员会对报价人进行资格审查。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bookmarkStart w:id="4" w:name="_Toc517804009"/>
      <w:bookmarkStart w:id="5" w:name="_Toc518044995"/>
      <w:bookmarkStart w:id="6" w:name="_Toc3201945"/>
      <w:bookmarkStart w:id="7" w:name="_Toc9267"/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6报价文件的递交</w:t>
      </w:r>
      <w:bookmarkEnd w:id="4"/>
      <w:bookmarkEnd w:id="5"/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6.1 报价文件递交截止时间/报价时间：2026年9月18日10：00（北京时间）。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6.2 报价及评审地点：生产管控中心生产技术办公室矿山会议室（中州铝业办公楼西保卫部三楼）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bookmarkStart w:id="8" w:name="_Toc30303"/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7发布公告的媒介</w:t>
      </w:r>
      <w:bookmarkEnd w:id="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我公司仅在中铝中州铝业有限公司（https://zzly.chinalco.com.cn/）发布有关该项目的采购信息，我公司郑重提醒各报价人注意：与该项目相关采购事宜均须与我公司指定人员联系，我公司对任何转载信息及由此产生的后果均不承担任何责任。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bookmarkStart w:id="9" w:name="_Toc3201947"/>
      <w:bookmarkStart w:id="10" w:name="_Toc22632"/>
      <w:bookmarkStart w:id="11" w:name="_Toc517804011"/>
      <w:bookmarkStart w:id="12" w:name="_Toc518044997"/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8联系方式</w:t>
      </w:r>
      <w:bookmarkEnd w:id="9"/>
      <w:bookmarkEnd w:id="10"/>
      <w:bookmarkEnd w:id="11"/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采购人：中铝中州铝业有限公司生产管控中心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地  址：河南省修武县七贤镇中铝中州铝业有限公司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联系人：王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电  话：0391-3505375        15544395273（加此微信获取采购文件）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电子邮箱：3245396774@qq.com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bookmarkStart w:id="13" w:name="_Toc32084"/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9购买采购文件款请按如下地址汇款</w:t>
      </w:r>
      <w:bookmarkEnd w:id="1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汇款信息如下（必须是公对公汇款）：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开户名称：中铝中州矿业有限公司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开户行：中国银行焦作山阳支行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default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银行账号：259865455392</w:t>
      </w:r>
    </w:p>
    <w:p>
      <w:pPr>
        <w:spacing w:line="440" w:lineRule="exac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10监督部门：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>投诉举报部门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中铝中州铝业有限公司：0391-3503580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中国铝业股份有限公司：010-82298446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中国铝业集团有限公司：010-82298683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" w:hAnsi="仿宋" w:eastAsia="仿宋" w:cs="仿宋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lang w:val="en-US" w:eastAsia="zh-CN"/>
        </w:rPr>
        <w:t>邮箱：zzlyjw02@126.com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MjIyMzMyMTlkNDAxNTY2NmYwY2YyZjk4N2FhNDQifQ=="/>
  </w:docVars>
  <w:rsids>
    <w:rsidRoot w:val="00000000"/>
    <w:rsid w:val="00155351"/>
    <w:rsid w:val="00BA7CA7"/>
    <w:rsid w:val="027A3611"/>
    <w:rsid w:val="02F063CD"/>
    <w:rsid w:val="031C6264"/>
    <w:rsid w:val="037B371D"/>
    <w:rsid w:val="037D6B45"/>
    <w:rsid w:val="0393643C"/>
    <w:rsid w:val="03AA4003"/>
    <w:rsid w:val="04483FA6"/>
    <w:rsid w:val="044E0E32"/>
    <w:rsid w:val="04C4495A"/>
    <w:rsid w:val="05880374"/>
    <w:rsid w:val="05B7748E"/>
    <w:rsid w:val="05C532C6"/>
    <w:rsid w:val="065E79C1"/>
    <w:rsid w:val="06973E80"/>
    <w:rsid w:val="06EC048E"/>
    <w:rsid w:val="08164F8D"/>
    <w:rsid w:val="09027D76"/>
    <w:rsid w:val="0AA27488"/>
    <w:rsid w:val="0B094A63"/>
    <w:rsid w:val="0B2F3A13"/>
    <w:rsid w:val="0C880C59"/>
    <w:rsid w:val="0C9475FE"/>
    <w:rsid w:val="0D7F205C"/>
    <w:rsid w:val="0DF40C53"/>
    <w:rsid w:val="0E1F739B"/>
    <w:rsid w:val="0EEC1B28"/>
    <w:rsid w:val="0F3D3D81"/>
    <w:rsid w:val="0FD069AE"/>
    <w:rsid w:val="10D73F5D"/>
    <w:rsid w:val="11C10E95"/>
    <w:rsid w:val="11DC7A7D"/>
    <w:rsid w:val="122D02D9"/>
    <w:rsid w:val="12451511"/>
    <w:rsid w:val="12FB03D7"/>
    <w:rsid w:val="13F63820"/>
    <w:rsid w:val="142859FB"/>
    <w:rsid w:val="144E2788"/>
    <w:rsid w:val="1464310E"/>
    <w:rsid w:val="14C667C2"/>
    <w:rsid w:val="163065E9"/>
    <w:rsid w:val="165B2217"/>
    <w:rsid w:val="16677B31"/>
    <w:rsid w:val="16D43419"/>
    <w:rsid w:val="171B1048"/>
    <w:rsid w:val="17EC6540"/>
    <w:rsid w:val="190C7CE1"/>
    <w:rsid w:val="19D11E91"/>
    <w:rsid w:val="1AC92B69"/>
    <w:rsid w:val="1B2D3AE4"/>
    <w:rsid w:val="1CCC4B92"/>
    <w:rsid w:val="1D623594"/>
    <w:rsid w:val="20B53F66"/>
    <w:rsid w:val="20D0142F"/>
    <w:rsid w:val="21AA7866"/>
    <w:rsid w:val="21AF0D0A"/>
    <w:rsid w:val="22845119"/>
    <w:rsid w:val="23720241"/>
    <w:rsid w:val="24A563F4"/>
    <w:rsid w:val="24B13AD7"/>
    <w:rsid w:val="28547E75"/>
    <w:rsid w:val="28A714A1"/>
    <w:rsid w:val="292A2F83"/>
    <w:rsid w:val="29600B3C"/>
    <w:rsid w:val="297840D8"/>
    <w:rsid w:val="2A3C3357"/>
    <w:rsid w:val="2C0B7693"/>
    <w:rsid w:val="2C43774A"/>
    <w:rsid w:val="2D1D4C6D"/>
    <w:rsid w:val="2D67693D"/>
    <w:rsid w:val="2DEC690F"/>
    <w:rsid w:val="2EDD7488"/>
    <w:rsid w:val="2EDE29FD"/>
    <w:rsid w:val="30E958BB"/>
    <w:rsid w:val="318B05EC"/>
    <w:rsid w:val="31B86A3F"/>
    <w:rsid w:val="31D8306E"/>
    <w:rsid w:val="32285F6F"/>
    <w:rsid w:val="339064C2"/>
    <w:rsid w:val="33BC290D"/>
    <w:rsid w:val="346902C6"/>
    <w:rsid w:val="34E40FCA"/>
    <w:rsid w:val="35102E7B"/>
    <w:rsid w:val="351729F7"/>
    <w:rsid w:val="35C76459"/>
    <w:rsid w:val="377636F0"/>
    <w:rsid w:val="37C07F75"/>
    <w:rsid w:val="38F4304F"/>
    <w:rsid w:val="38F73281"/>
    <w:rsid w:val="3AAC3BE1"/>
    <w:rsid w:val="3AE96BE3"/>
    <w:rsid w:val="3C3E6CFB"/>
    <w:rsid w:val="3C6A5B02"/>
    <w:rsid w:val="3E0E49C6"/>
    <w:rsid w:val="3EBE79F3"/>
    <w:rsid w:val="3ED2731A"/>
    <w:rsid w:val="3FC30CA2"/>
    <w:rsid w:val="3FE43E1D"/>
    <w:rsid w:val="401A783F"/>
    <w:rsid w:val="406805AA"/>
    <w:rsid w:val="411C2913"/>
    <w:rsid w:val="43E02B4D"/>
    <w:rsid w:val="44590819"/>
    <w:rsid w:val="446724B7"/>
    <w:rsid w:val="45476DEF"/>
    <w:rsid w:val="45C368D4"/>
    <w:rsid w:val="464E0242"/>
    <w:rsid w:val="465B295F"/>
    <w:rsid w:val="46CE4098"/>
    <w:rsid w:val="490F1FF3"/>
    <w:rsid w:val="49695393"/>
    <w:rsid w:val="497955D6"/>
    <w:rsid w:val="49C643CF"/>
    <w:rsid w:val="49E07403"/>
    <w:rsid w:val="4B4843E2"/>
    <w:rsid w:val="4C27758A"/>
    <w:rsid w:val="4CA57490"/>
    <w:rsid w:val="4CFD651E"/>
    <w:rsid w:val="4E4572F4"/>
    <w:rsid w:val="4EDB288F"/>
    <w:rsid w:val="51735001"/>
    <w:rsid w:val="523C1897"/>
    <w:rsid w:val="52F23C05"/>
    <w:rsid w:val="52F83A10"/>
    <w:rsid w:val="538C00C5"/>
    <w:rsid w:val="550A42E0"/>
    <w:rsid w:val="56140091"/>
    <w:rsid w:val="5716224D"/>
    <w:rsid w:val="571748E3"/>
    <w:rsid w:val="581D594B"/>
    <w:rsid w:val="59395101"/>
    <w:rsid w:val="5AFD146D"/>
    <w:rsid w:val="5B5434A8"/>
    <w:rsid w:val="5B5E287E"/>
    <w:rsid w:val="5BF154A0"/>
    <w:rsid w:val="5C031BC4"/>
    <w:rsid w:val="5C0F4FE4"/>
    <w:rsid w:val="5D6F11AF"/>
    <w:rsid w:val="5DA3376E"/>
    <w:rsid w:val="5E863CA9"/>
    <w:rsid w:val="5EC155FD"/>
    <w:rsid w:val="5F7F56ED"/>
    <w:rsid w:val="603248F4"/>
    <w:rsid w:val="60662791"/>
    <w:rsid w:val="62272952"/>
    <w:rsid w:val="62DF10A6"/>
    <w:rsid w:val="63875FB1"/>
    <w:rsid w:val="638E10ED"/>
    <w:rsid w:val="64D50E4D"/>
    <w:rsid w:val="651E6BDA"/>
    <w:rsid w:val="652D5C58"/>
    <w:rsid w:val="65D0673C"/>
    <w:rsid w:val="662D3262"/>
    <w:rsid w:val="66636F9A"/>
    <w:rsid w:val="66CD3A0C"/>
    <w:rsid w:val="67916D24"/>
    <w:rsid w:val="68103152"/>
    <w:rsid w:val="68554ED4"/>
    <w:rsid w:val="69856C60"/>
    <w:rsid w:val="6A627023"/>
    <w:rsid w:val="6B3E73F7"/>
    <w:rsid w:val="6BAD0EBB"/>
    <w:rsid w:val="6C092392"/>
    <w:rsid w:val="6C4D6722"/>
    <w:rsid w:val="6CC43549"/>
    <w:rsid w:val="6D0D7C60"/>
    <w:rsid w:val="6D8242FF"/>
    <w:rsid w:val="6E9F6FDD"/>
    <w:rsid w:val="6EA07640"/>
    <w:rsid w:val="6EC711C7"/>
    <w:rsid w:val="6EFB29F9"/>
    <w:rsid w:val="6F060E0B"/>
    <w:rsid w:val="6F273B31"/>
    <w:rsid w:val="707814EF"/>
    <w:rsid w:val="70AD26B9"/>
    <w:rsid w:val="71E52089"/>
    <w:rsid w:val="71ED7056"/>
    <w:rsid w:val="728F1117"/>
    <w:rsid w:val="732C01D1"/>
    <w:rsid w:val="73DD17AE"/>
    <w:rsid w:val="73E01C41"/>
    <w:rsid w:val="740578E3"/>
    <w:rsid w:val="74624D35"/>
    <w:rsid w:val="75181898"/>
    <w:rsid w:val="7568697B"/>
    <w:rsid w:val="7723759C"/>
    <w:rsid w:val="77720653"/>
    <w:rsid w:val="77E572A5"/>
    <w:rsid w:val="77F55EC0"/>
    <w:rsid w:val="780D4FB8"/>
    <w:rsid w:val="78355FAD"/>
    <w:rsid w:val="79246A5D"/>
    <w:rsid w:val="7A22256E"/>
    <w:rsid w:val="7A2A7DCB"/>
    <w:rsid w:val="7B564EC8"/>
    <w:rsid w:val="7B747B10"/>
    <w:rsid w:val="7B9A4DB4"/>
    <w:rsid w:val="7D5B2A16"/>
    <w:rsid w:val="7F062761"/>
    <w:rsid w:val="7F0B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line="360" w:lineRule="auto"/>
      <w:jc w:val="center"/>
      <w:outlineLvl w:val="0"/>
    </w:pPr>
    <w:rPr>
      <w:rFonts w:ascii="黑体" w:hAnsi="宋体" w:eastAsia="黑体"/>
      <w:kern w:val="44"/>
      <w:sz w:val="30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tabs>
        <w:tab w:val="left" w:pos="0"/>
      </w:tabs>
      <w:suppressAutoHyphens/>
      <w:spacing w:before="260" w:after="260" w:line="408" w:lineRule="auto"/>
      <w:ind w:left="576" w:hanging="576"/>
      <w:outlineLvl w:val="1"/>
    </w:pPr>
    <w:rPr>
      <w:rFonts w:ascii="Arial" w:hAnsi="Arial" w:eastAsia="黑体"/>
      <w:b/>
      <w:bCs/>
      <w:sz w:val="32"/>
      <w:szCs w:val="32"/>
      <w:lang w:eastAsia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widowControl w:val="0"/>
      <w:spacing w:after="120"/>
      <w:ind w:firstLine="420" w:firstLineChars="10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6">
    <w:name w:val="index 8"/>
    <w:basedOn w:val="1"/>
    <w:next w:val="1"/>
    <w:qFormat/>
    <w:uiPriority w:val="0"/>
    <w:pPr>
      <w:ind w:left="0" w:firstLine="800" w:firstLineChars="200"/>
    </w:pPr>
    <w:rPr>
      <w:rFonts w:ascii="Calibri" w:hAnsi="Calibri" w:eastAsia="仿宋_GB2312" w:cs="Times New Roman"/>
      <w:sz w:val="32"/>
    </w:rPr>
  </w:style>
  <w:style w:type="paragraph" w:styleId="7">
    <w:name w:val="Normal Indent"/>
    <w:basedOn w:val="1"/>
    <w:qFormat/>
    <w:uiPriority w:val="0"/>
    <w:pPr>
      <w:spacing w:line="360" w:lineRule="auto"/>
      <w:ind w:firstLine="200" w:firstLineChars="200"/>
    </w:pPr>
    <w:rPr>
      <w:rFonts w:ascii="宋体" w:hAnsi="宋体"/>
      <w:sz w:val="24"/>
      <w:szCs w:val="20"/>
    </w:rPr>
  </w:style>
  <w:style w:type="paragraph" w:styleId="8">
    <w:name w:val="annotation text"/>
    <w:basedOn w:val="1"/>
    <w:qFormat/>
    <w:uiPriority w:val="0"/>
    <w:pPr>
      <w:jc w:val="left"/>
    </w:pPr>
    <w:rPr>
      <w:rFonts w:ascii="Calibri" w:hAnsi="Calibri" w:eastAsia="宋体" w:cs="Times New Roman"/>
    </w:rPr>
  </w:style>
  <w:style w:type="paragraph" w:styleId="9">
    <w:name w:val="Body Text Indent"/>
    <w:basedOn w:val="1"/>
    <w:next w:val="7"/>
    <w:qFormat/>
    <w:uiPriority w:val="0"/>
    <w:pPr>
      <w:widowControl/>
      <w:spacing w:after="120" w:afterAutospacing="0"/>
      <w:ind w:left="420" w:leftChars="200"/>
      <w:jc w:val="left"/>
    </w:pPr>
    <w:rPr>
      <w:kern w:val="0"/>
      <w:sz w:val="20"/>
      <w:szCs w:val="20"/>
      <w:lang w:val="en-GB" w:eastAsia="en-US"/>
    </w:rPr>
  </w:style>
  <w:style w:type="paragraph" w:styleId="10">
    <w:name w:val="Body Text 2"/>
    <w:basedOn w:val="1"/>
    <w:next w:val="3"/>
    <w:qFormat/>
    <w:uiPriority w:val="0"/>
    <w:pPr>
      <w:spacing w:after="120" w:line="480" w:lineRule="auto"/>
    </w:pPr>
  </w:style>
  <w:style w:type="paragraph" w:styleId="11">
    <w:name w:val="Body Text First Indent 2"/>
    <w:basedOn w:val="9"/>
    <w:unhideWhenUsed/>
    <w:qFormat/>
    <w:uiPriority w:val="99"/>
    <w:pPr>
      <w:spacing w:before="100" w:beforeAutospacing="1"/>
      <w:ind w:left="200" w:firstLine="420"/>
    </w:pPr>
  </w:style>
  <w:style w:type="character" w:customStyle="1" w:styleId="14">
    <w:name w:val="font12"/>
    <w:basedOn w:val="13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5">
    <w:name w:val="font1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122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7">
    <w:name w:val="font221"/>
    <w:basedOn w:val="1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  <w:vertAlign w:val="subscript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1997</Words>
  <Characters>2333</Characters>
  <Lines>0</Lines>
  <Paragraphs>0</Paragraphs>
  <TotalTime>1</TotalTime>
  <ScaleCrop>false</ScaleCrop>
  <LinksUpToDate>false</LinksUpToDate>
  <CharactersWithSpaces>2365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2023-06-16T02:53:00Z</dcterms:created>
  <dc:creator>Administrator</dc:creator>
  <cp:lastModifiedBy>Administrator</cp:lastModifiedBy>
  <dcterms:modified xsi:type="dcterms:W3CDTF">2026-09-15T07:00:13Z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E2998739EB744DF798B4578CEF13DF38_13</vt:lpwstr>
  </property>
</Properties>
</file>