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after="156" w:line="360" w:lineRule="auto"/>
        <w:jc w:val="center"/>
        <w:textAlignment w:val="baseline"/>
        <w:rPr>
          <w:rFonts w:hint="eastAsia" w:ascii="黑体" w:hAnsi="黑体" w:eastAsia="黑体" w:cs="黑体"/>
          <w:bCs/>
          <w:sz w:val="36"/>
          <w:szCs w:val="36"/>
          <w:lang w:eastAsia="zh-CN"/>
        </w:rPr>
      </w:pPr>
      <w:r>
        <w:rPr>
          <w:rFonts w:hint="eastAsia" w:ascii="黑体" w:hAnsi="黑体" w:eastAsia="黑体" w:cs="黑体"/>
          <w:bCs/>
          <w:sz w:val="36"/>
          <w:szCs w:val="36"/>
          <w:lang w:eastAsia="zh-CN"/>
        </w:rPr>
        <w:t>冯营石灰石矿a采区地质环境保护与恢复治理（五期）施工项目</w:t>
      </w:r>
      <w:r>
        <w:rPr>
          <w:rFonts w:hint="eastAsia" w:ascii="黑体" w:hAnsi="黑体" w:eastAsia="黑体" w:cs="黑体"/>
          <w:bCs/>
          <w:sz w:val="36"/>
          <w:szCs w:val="36"/>
          <w:lang w:eastAsia="zh-CN"/>
        </w:rPr>
        <w:t>采购公告</w:t>
      </w:r>
    </w:p>
    <w:p>
      <w:pPr>
        <w:snapToGrid w:val="0"/>
        <w:spacing w:before="156" w:after="156" w:line="360" w:lineRule="auto"/>
        <w:jc w:val="center"/>
        <w:textAlignment w:val="baseline"/>
        <w:rPr>
          <w:rFonts w:hint="default" w:ascii="Calibri" w:hAnsi="Calibri" w:eastAsia="宋体" w:cs="Times New Roman"/>
          <w:b/>
          <w:color w:val="auto"/>
          <w:sz w:val="32"/>
          <w:szCs w:val="32"/>
          <w:highlight w:val="none"/>
          <w:lang w:val="en-US"/>
        </w:rPr>
      </w:pPr>
      <w:r>
        <w:rPr>
          <w:rFonts w:hint="eastAsia" w:ascii="黑体" w:hAnsi="黑体" w:eastAsia="黑体" w:cs="黑体"/>
          <w:bCs/>
          <w:sz w:val="36"/>
          <w:szCs w:val="36"/>
          <w:lang w:eastAsia="zh-CN"/>
        </w:rPr>
        <w:t>采购编号：CG-ZZ-202609-SCGK-SCJSK-003</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1采购条件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bCs/>
          <w:sz w:val="24"/>
          <w:lang w:eastAsia="zh-CN"/>
        </w:rPr>
        <w:t>冯营石灰石矿a采区地质环境保护与恢复治理（五期）施工项目</w:t>
      </w:r>
      <w:r>
        <w:rPr>
          <w:rFonts w:hint="eastAsia" w:ascii="仿宋" w:hAnsi="仿宋" w:eastAsia="仿宋" w:cs="仿宋"/>
          <w:bCs/>
          <w:sz w:val="24"/>
          <w:lang w:val="en-US" w:eastAsia="zh-CN"/>
        </w:rPr>
        <w:t>已具备采购条件，资金自筹且已落实。采购人为：中铝中州铝业有限公司生产管控中心。采购人对该项目进行竞价采购，报价方式为现场报价。</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2项目概况及采购范围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2.1项目名称：</w:t>
      </w:r>
      <w:r>
        <w:rPr>
          <w:rFonts w:hint="eastAsia" w:ascii="仿宋_GB2312" w:eastAsia="仿宋_GB2312" w:cs="Times New Roman"/>
          <w:bCs/>
          <w:sz w:val="24"/>
          <w:lang w:eastAsia="zh-CN"/>
        </w:rPr>
        <w:t>冯营石灰石矿a采区地质环境保护与恢复治理（五期）施工项目</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2.2项目类型：生态修复施工</w:t>
      </w:r>
    </w:p>
    <w:p>
      <w:pPr>
        <w:spacing w:line="440" w:lineRule="exact"/>
        <w:ind w:firstLine="480" w:firstLineChars="200"/>
        <w:rPr>
          <w:rFonts w:hint="eastAsia" w:ascii="仿宋_GB2312" w:eastAsia="仿宋_GB2312"/>
          <w:bCs/>
          <w:sz w:val="24"/>
        </w:rPr>
      </w:pPr>
      <w:r>
        <w:rPr>
          <w:rFonts w:hint="eastAsia" w:ascii="仿宋" w:hAnsi="仿宋" w:eastAsia="仿宋" w:cs="仿宋"/>
          <w:bCs/>
          <w:sz w:val="24"/>
          <w:lang w:val="en-US" w:eastAsia="zh-CN"/>
        </w:rPr>
        <w:t>2.3项目概况：</w:t>
      </w:r>
      <w:r>
        <w:rPr>
          <w:rFonts w:hint="eastAsia" w:ascii="仿宋_GB2312" w:eastAsia="仿宋_GB2312"/>
          <w:bCs/>
          <w:sz w:val="24"/>
        </w:rPr>
        <w:t>为进一步改善中铝中州铝业有限公司冯营石灰石矿山周边的生态环境，根据“边开采、边治理”的原则，尽可能消除矿区内的地质灾害隐患，恢复地形地貌景观，同时不影响矿山下一步的开采和治理计划。</w:t>
      </w:r>
    </w:p>
    <w:p>
      <w:pPr>
        <w:spacing w:line="440" w:lineRule="exact"/>
        <w:ind w:firstLine="480"/>
        <w:rPr>
          <w:rFonts w:hint="eastAsia" w:ascii="仿宋_GB2312" w:eastAsia="仿宋_GB2312"/>
          <w:bCs/>
          <w:sz w:val="24"/>
          <w:lang w:val="en-US" w:eastAsia="zh-CN"/>
        </w:rPr>
      </w:pPr>
      <w:r>
        <w:rPr>
          <w:rFonts w:hint="eastAsia" w:ascii="仿宋_GB2312" w:eastAsia="仿宋_GB2312"/>
          <w:bCs/>
          <w:sz w:val="24"/>
        </w:rPr>
        <w:t>本期治理工作的项目范围主要</w:t>
      </w:r>
      <w:r>
        <w:rPr>
          <w:rFonts w:hint="eastAsia" w:ascii="仿宋_GB2312" w:eastAsia="仿宋_GB2312"/>
          <w:bCs/>
          <w:sz w:val="24"/>
          <w:lang w:val="en-US" w:eastAsia="zh-CN"/>
        </w:rPr>
        <w:t>位于a采区北部+175m平台延伸段新开采形成的基岩裸露区段，南部+175m平台未治理区段，西部高差大于15米的高陡边坡，东部出入口处+175m平台、边坡及附近渣堆进行生态环境修复工程设计，消除地质灾害隐患，恢复被破坏的生态环境。总面积7799.78m²（0.7800hm2），其中永久治理区面积为0.4019hm</w:t>
      </w:r>
      <w:r>
        <w:rPr>
          <w:rFonts w:hint="eastAsia" w:ascii="仿宋_GB2312" w:eastAsia="仿宋_GB2312"/>
          <w:bCs/>
          <w:sz w:val="24"/>
          <w:vertAlign w:val="superscript"/>
          <w:lang w:val="en-US" w:eastAsia="zh-CN"/>
        </w:rPr>
        <w:t>2</w:t>
      </w:r>
      <w:r>
        <w:rPr>
          <w:rFonts w:hint="eastAsia" w:ascii="仿宋_GB2312" w:eastAsia="仿宋_GB2312"/>
          <w:bCs/>
          <w:sz w:val="24"/>
          <w:lang w:val="en-US" w:eastAsia="zh-CN"/>
        </w:rPr>
        <w:t>，临时治理区面积0.3781hm</w:t>
      </w:r>
      <w:r>
        <w:rPr>
          <w:rFonts w:hint="eastAsia" w:ascii="仿宋_GB2312" w:eastAsia="仿宋_GB2312"/>
          <w:bCs/>
          <w:sz w:val="24"/>
          <w:vertAlign w:val="superscript"/>
          <w:lang w:val="en-US" w:eastAsia="zh-CN"/>
        </w:rPr>
        <w:t>2</w:t>
      </w:r>
      <w:r>
        <w:rPr>
          <w:rFonts w:hint="eastAsia" w:ascii="仿宋_GB2312" w:eastAsia="仿宋_GB2312"/>
          <w:bCs/>
          <w:sz w:val="24"/>
          <w:lang w:val="en-US" w:eastAsia="zh-CN"/>
        </w:rPr>
        <w:t>。通过地质灾害防治工程（包括边坡平台清理、废渣清运、修建截排水沟）、地形地貌景观恢复工程（包括回填覆土、植树绿化）等措施，消除地质灾害隐患，恢复被破坏的生态环境。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2.4项目地点：</w:t>
      </w:r>
      <w:r>
        <w:rPr>
          <w:rFonts w:hint="eastAsia" w:ascii="仿宋" w:hAnsi="仿宋" w:eastAsia="仿宋" w:cs="仿宋"/>
          <w:sz w:val="24"/>
          <w:lang w:val="en-US" w:eastAsia="zh-CN"/>
        </w:rPr>
        <w:t>焦作市安阳城乡马冯营村北</w:t>
      </w:r>
      <w:bookmarkStart w:id="14" w:name="_GoBack"/>
      <w:bookmarkEnd w:id="14"/>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2.5主要工作内容及质量标准要求：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2.5.1主要内容：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（1）边坡治理：按照国家边坡治理规范要求，通过边坡清理、废渣清运、排水沟等工程措施，使项目区高边坡达到安全、稳定，同时满足生物复绿工程的施工要求。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（2）复绿工程：在拟治理区域上覆种植土，然后种植大叶女贞、连翘等植物对项目区进行复绿。同时为防止平台上覆土流失，沿平台修建浆砌石挡墙。在平台外沿种植连翘，保证坡面复绿效果。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Times New Roman" w:eastAsia="仿宋_GB2312" w:cs="Times New Roman"/>
          <w:bCs/>
          <w:sz w:val="24"/>
          <w:lang w:val="en-US" w:eastAsia="zh-CN"/>
        </w:rPr>
      </w:pPr>
      <w:r>
        <w:rPr>
          <w:rFonts w:hint="eastAsia" w:ascii="仿宋_GB2312" w:hAnsi="Times New Roman" w:eastAsia="仿宋_GB2312" w:cs="Times New Roman"/>
          <w:bCs/>
          <w:sz w:val="24"/>
          <w:lang w:val="en-US" w:eastAsia="zh-CN"/>
        </w:rPr>
        <w:t>（3）场地平整工程：按照国家相关要求，在满足矿山地质环境治理工程后期养护工作的基础上，结合矿山生产安排，并将现有供水管网安装至新修道路外侧，供水至各个平台，满足后期养护需要。</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hAnsi="Times New Roman" w:eastAsia="仿宋_GB2312" w:cs="Times New Roman"/>
          <w:bCs/>
          <w:sz w:val="24"/>
          <w:lang w:val="en-US" w:eastAsia="zh-CN"/>
        </w:rPr>
        <w:t>（4）按照《中铝中州铝业有限公司冯营石灰石矿a采区矿山地质环境保护与恢复治理工程（五期）设计书》实物工作量进行施工，负责组织工程竣工验收及专</w:t>
      </w:r>
      <w:r>
        <w:rPr>
          <w:rFonts w:hint="eastAsia" w:ascii="仿宋_GB2312" w:hAnsi="Calibri" w:eastAsia="仿宋_GB2312" w:cs="Times New Roman"/>
          <w:bCs/>
          <w:kern w:val="2"/>
          <w:sz w:val="24"/>
          <w:szCs w:val="24"/>
          <w:lang w:val="en-US" w:eastAsia="zh-CN" w:bidi="ar-SA"/>
        </w:rPr>
        <w:t>家评审。</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2.5.2质量要求：乙方应当严格按照绿化设计图纸进行高质量的施工，不得随意变更设计方案、偷工减料、降低标准。在施工中，乙方如有更为合理的建议或方案，应当及时向甲方提交，经甲方同意，并由设计单位出具设计变更文件后方可实施。在施工中，乙方应当严格执行园林绿化工程作业规范及操作规程</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2.6报价注意事项：无。</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2.7其他要求：见合同格式中的相应条款。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2.8工期：</w:t>
      </w:r>
      <w:r>
        <w:rPr>
          <w:rFonts w:hint="eastAsia" w:ascii="仿宋_GB2312" w:hAnsi="Calibri" w:eastAsia="仿宋_GB2312" w:cs="Times New Roman"/>
          <w:bCs/>
          <w:kern w:val="2"/>
          <w:sz w:val="24"/>
          <w:szCs w:val="24"/>
          <w:lang w:val="en-US" w:eastAsia="zh-CN" w:bidi="ar-SA"/>
        </w:rPr>
        <w:t>施工期为【合同签订之日起】至【2026年11月30日】；养护期为【2026年12月1日】至【2027年11月30日】</w:t>
      </w:r>
      <w:r>
        <w:rPr>
          <w:rFonts w:hint="eastAsia" w:ascii="仿宋" w:hAnsi="仿宋" w:eastAsia="仿宋" w:cs="仿宋"/>
          <w:bCs/>
          <w:sz w:val="24"/>
          <w:lang w:val="en-US" w:eastAsia="zh-CN"/>
        </w:rPr>
        <w:t>。</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3报价人资格要求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3.1、在中华人民共和国依照《中华人民共和国民法典》注册的、具有履行合同的能力，具有</w:t>
      </w:r>
      <w:r>
        <w:rPr>
          <w:rFonts w:hint="eastAsia" w:ascii="仿宋_GB2312" w:hAnsi="仿宋_GB2312" w:eastAsia="仿宋_GB2312" w:cs="仿宋_GB2312"/>
          <w:b/>
          <w:bCs/>
          <w:sz w:val="24"/>
          <w:szCs w:val="24"/>
          <w:lang w:val="en-US" w:eastAsia="zh-CN"/>
        </w:rPr>
        <w:t>地质灾害治理工程施工甲级及</w:t>
      </w:r>
      <w:r>
        <w:rPr>
          <w:rFonts w:hint="eastAsia" w:ascii="仿宋_GB2312" w:hAnsi="仿宋_GB2312" w:eastAsia="仿宋_GB2312" w:cs="仿宋_GB2312"/>
          <w:sz w:val="24"/>
          <w:szCs w:val="24"/>
          <w:lang w:val="en-US" w:eastAsia="zh-CN"/>
        </w:rPr>
        <w:t>以上资质，具有良好资金、设备和其他物质设施状况，良好的管理能力，经验、信誉和相应的从业人员，需提供企业营业执照、资质证书；</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3.2、报价人没有处于被责令停业，报价资格没有被取消，财产没有被接管、冻结、破产状态；在最近三年内没有骗取中选和严重违约及重大质量问题；</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3.3在承接类似于本项目的相关业务中，没有出现报价人负主要责任的安全、技术、质量、商务等纠纷，没有产生严重后果，造成重大经济损失，不得在招报价数据库中存在不良记录；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3.4、具有良好的商业信誉和健全的财务会计制度，提供最新年度的财务报表； </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3.5、参加采购活动前三年之内，在经营活动中没有重大违法记录及安全事故记录；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3.6、禁止被列入国家失信被执行人名单或中铝集团禁入名单的服务商参与该采购活动；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3.7、法律、行政法规规定的其他条件。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_GB2312" w:hAnsi="Calibri" w:eastAsia="仿宋_GB2312" w:cs="Times New Roman"/>
          <w:bCs/>
          <w:color w:val="auto"/>
          <w:kern w:val="2"/>
          <w:sz w:val="24"/>
          <w:szCs w:val="24"/>
          <w:lang w:val="en-US" w:eastAsia="zh-CN" w:bidi="ar-SA"/>
        </w:rPr>
      </w:pPr>
      <w:r>
        <w:rPr>
          <w:rFonts w:hint="eastAsia" w:ascii="仿宋_GB2312" w:hAnsi="Times New Roman" w:eastAsia="仿宋_GB2312" w:cs="Times New Roman"/>
          <w:bCs/>
          <w:sz w:val="24"/>
          <w:lang w:val="en-US" w:eastAsia="zh-CN"/>
        </w:rPr>
        <w:t>3.8</w:t>
      </w:r>
      <w:r>
        <w:rPr>
          <w:rFonts w:hint="eastAsia" w:ascii="仿宋_GB2312" w:hAnsi="Calibri" w:eastAsia="仿宋_GB2312" w:cs="Times New Roman"/>
          <w:bCs/>
          <w:color w:val="auto"/>
          <w:kern w:val="2"/>
          <w:sz w:val="24"/>
          <w:szCs w:val="24"/>
          <w:lang w:val="en-US" w:eastAsia="zh-CN" w:bidi="ar-SA"/>
        </w:rPr>
        <w:t>信誉要求:报价人在全国法院失信被执行人名单信息公布与查询网(http://zxgk.court.gov.cn)和国家发展改革委信用中国(www.creditchina.gov.cn)网站上未被列入失信被执行人、重大税收违法案件当事人名单;未列入中铝集团有限公司承包商黑名单；</w:t>
      </w:r>
    </w:p>
    <w:p>
      <w:pPr>
        <w:spacing w:line="440" w:lineRule="exact"/>
        <w:ind w:firstLine="480" w:firstLineChars="200"/>
        <w:rPr>
          <w:rFonts w:hint="eastAsia" w:ascii="仿宋" w:hAnsi="仿宋" w:eastAsia="仿宋" w:cs="仿宋"/>
          <w:bCs/>
          <w:sz w:val="24"/>
          <w:lang w:val="en-US" w:eastAsia="zh-CN"/>
        </w:rPr>
      </w:pPr>
      <w:r>
        <w:rPr>
          <w:rFonts w:hint="eastAsia" w:ascii="仿宋" w:hAnsi="仿宋" w:eastAsia="仿宋" w:cs="仿宋"/>
          <w:bCs/>
          <w:sz w:val="24"/>
          <w:lang w:val="en-US" w:eastAsia="zh-CN"/>
        </w:rPr>
        <w:t>3.9报价人的安全能力能满足采购文件的要求，包括资质能力、管理能力、人员能力、绩效能力等。</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4采购报名和采购文件的获取</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bookmarkStart w:id="0" w:name="_Toc27489"/>
      <w:bookmarkStart w:id="1" w:name="_Toc3201944"/>
      <w:bookmarkStart w:id="2" w:name="_Toc517804008"/>
      <w:bookmarkStart w:id="3" w:name="_Toc518044994"/>
      <w:r>
        <w:rPr>
          <w:rFonts w:hint="eastAsia" w:ascii="仿宋" w:hAnsi="仿宋" w:eastAsia="仿宋" w:cs="仿宋"/>
          <w:bCs/>
          <w:sz w:val="24"/>
          <w:lang w:val="en-US" w:eastAsia="zh-CN"/>
        </w:rPr>
        <w:t>4.1 采购文件的价格为200元/份，采购文件购买后该费用无论何种原因或中选与否均不予退还。采购文件必须通过联系人获取，未通过联系人获取采购文件的均视为无效采购，取消其报价资格。拟报价人必须将付款凭证原件、传真（或扫描后电子邮件）传送至联系人后方可取得采购文件（纸质版或电子版）。纸质版可到采购人处领取，电子版通过微信方式发至报价联系人。</w:t>
      </w:r>
    </w:p>
    <w:p>
      <w:pPr>
        <w:spacing w:line="400" w:lineRule="exact"/>
        <w:ind w:firstLine="480"/>
        <w:rPr>
          <w:rFonts w:hint="eastAsia" w:ascii="仿宋_GB2312" w:eastAsia="仿宋_GB2312"/>
          <w:bCs/>
          <w:color w:val="000000"/>
          <w:sz w:val="24"/>
          <w:highlight w:val="none"/>
        </w:rPr>
      </w:pPr>
      <w:r>
        <w:rPr>
          <w:rFonts w:hint="eastAsia" w:ascii="仿宋_GB2312" w:eastAsia="仿宋_GB2312"/>
          <w:bCs/>
          <w:color w:val="000000"/>
          <w:sz w:val="24"/>
          <w:highlight w:val="green"/>
          <w:lang w:eastAsia="zh-CN"/>
        </w:rPr>
        <w:t>报价保证金</w:t>
      </w:r>
      <w:r>
        <w:rPr>
          <w:rFonts w:hint="eastAsia" w:ascii="仿宋_GB2312" w:eastAsia="仿宋_GB2312"/>
          <w:bCs/>
          <w:color w:val="000000"/>
          <w:sz w:val="24"/>
          <w:highlight w:val="green"/>
          <w:lang w:val="en-US" w:eastAsia="zh-CN"/>
        </w:rPr>
        <w:t>20000元（贰万元整）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汇款信息如下（保证金必须是公对公汇款）：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汇款备注中，须注明“冯营矿五期恢</w:t>
      </w:r>
      <w:r>
        <w:rPr>
          <w:rFonts w:hint="eastAsia" w:ascii="仿宋_GB2312" w:eastAsia="仿宋_GB2312"/>
          <w:bCs/>
          <w:sz w:val="24"/>
        </w:rPr>
        <w:t>复治理施工采购文件费”、“冯营矿</w:t>
      </w:r>
      <w:r>
        <w:rPr>
          <w:rFonts w:hint="eastAsia" w:ascii="仿宋_GB2312" w:eastAsia="仿宋_GB2312"/>
          <w:bCs/>
          <w:sz w:val="24"/>
          <w:lang w:val="en-US" w:eastAsia="zh-CN"/>
        </w:rPr>
        <w:t>五</w:t>
      </w:r>
      <w:r>
        <w:rPr>
          <w:rFonts w:hint="eastAsia" w:ascii="仿宋_GB2312" w:eastAsia="仿宋_GB2312"/>
          <w:bCs/>
          <w:sz w:val="24"/>
        </w:rPr>
        <w:t>期恢复治理施工报价保证金”。</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4.2 购买采购文件时间：自公告之日起至2026年9月23日20:00（北京时间）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文件必须通过联系人获取，未通过联系人获取采购文件的均视为无效采购，取消其报价资格。拟报价人必须将企业营业执照（三证合一）、开户许可证、法人身份证（正反面）、文件费回执等传送至联系人后方可取得采购文件（电子版）。</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5资格审查方式</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本次采购资格审查方式采用资格后审，在评审时由评审委员会对报价人进行资格审查。</w:t>
      </w:r>
    </w:p>
    <w:p>
      <w:pPr>
        <w:spacing w:line="440" w:lineRule="exact"/>
        <w:rPr>
          <w:rFonts w:hint="eastAsia" w:ascii="仿宋" w:hAnsi="仿宋" w:eastAsia="仿宋" w:cs="仿宋"/>
          <w:b/>
          <w:bCs w:val="0"/>
          <w:sz w:val="28"/>
          <w:szCs w:val="28"/>
          <w:lang w:val="en-US" w:eastAsia="zh-CN"/>
        </w:rPr>
      </w:pPr>
      <w:bookmarkStart w:id="4" w:name="_Toc3201945"/>
      <w:bookmarkStart w:id="5" w:name="_Toc518044995"/>
      <w:bookmarkStart w:id="6" w:name="_Toc9267"/>
      <w:bookmarkStart w:id="7" w:name="_Toc517804009"/>
      <w:r>
        <w:rPr>
          <w:rFonts w:hint="eastAsia" w:ascii="仿宋" w:hAnsi="仿宋" w:eastAsia="仿宋" w:cs="仿宋"/>
          <w:b/>
          <w:bCs w:val="0"/>
          <w:sz w:val="28"/>
          <w:szCs w:val="28"/>
          <w:lang w:val="en-US" w:eastAsia="zh-CN"/>
        </w:rPr>
        <w:t>6报价文件的递交</w:t>
      </w:r>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6.1 报价文件递交截止时间/报价时间：2026年9月24日14：00（北京时间）。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6.2 报价及评审地点：生产管控中心生产技术办公室矿山会议室（中州铝业办公楼西保卫部三楼）</w:t>
      </w:r>
    </w:p>
    <w:p>
      <w:pPr>
        <w:spacing w:line="440" w:lineRule="exact"/>
        <w:rPr>
          <w:rFonts w:hint="eastAsia" w:ascii="仿宋" w:hAnsi="仿宋" w:eastAsia="仿宋" w:cs="仿宋"/>
          <w:b/>
          <w:bCs w:val="0"/>
          <w:sz w:val="28"/>
          <w:szCs w:val="28"/>
          <w:lang w:val="en-US" w:eastAsia="zh-CN"/>
        </w:rPr>
      </w:pPr>
      <w:bookmarkStart w:id="8" w:name="_Toc30303"/>
      <w:r>
        <w:rPr>
          <w:rFonts w:hint="eastAsia" w:ascii="仿宋" w:hAnsi="仿宋" w:eastAsia="仿宋" w:cs="仿宋"/>
          <w:b/>
          <w:bCs w:val="0"/>
          <w:sz w:val="28"/>
          <w:szCs w:val="28"/>
          <w:lang w:val="en-US" w:eastAsia="zh-CN"/>
        </w:rPr>
        <w:t>7发布公告的媒介</w:t>
      </w:r>
      <w:bookmarkEnd w:id="8"/>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我公司仅在中铝中州铝业有限公司（https://zzly.chinalco.com.cn/）发布有关该项目的采购信息，我公司郑重提醒各报价人注意：与该项目相关采购事宜均须与我公司指定人员联系，我公司对任何转载信息及由此产生的后果均不承担任何责任。</w:t>
      </w:r>
    </w:p>
    <w:p>
      <w:pPr>
        <w:spacing w:line="440" w:lineRule="exact"/>
        <w:rPr>
          <w:rFonts w:hint="eastAsia" w:ascii="仿宋" w:hAnsi="仿宋" w:eastAsia="仿宋" w:cs="仿宋"/>
          <w:b/>
          <w:bCs w:val="0"/>
          <w:sz w:val="28"/>
          <w:szCs w:val="28"/>
          <w:lang w:val="en-US" w:eastAsia="zh-CN"/>
        </w:rPr>
      </w:pPr>
      <w:bookmarkStart w:id="9" w:name="_Toc517804011"/>
      <w:bookmarkStart w:id="10" w:name="_Toc3201947"/>
      <w:bookmarkStart w:id="11" w:name="_Toc22632"/>
      <w:bookmarkStart w:id="12" w:name="_Toc518044997"/>
      <w:r>
        <w:rPr>
          <w:rFonts w:hint="eastAsia" w:ascii="仿宋" w:hAnsi="仿宋" w:eastAsia="仿宋" w:cs="仿宋"/>
          <w:b/>
          <w:bCs w:val="0"/>
          <w:sz w:val="28"/>
          <w:szCs w:val="28"/>
          <w:lang w:val="en-US" w:eastAsia="zh-CN"/>
        </w:rPr>
        <w:t>8联系方式</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采购人：中铝中州铝业有限公司生产管控中心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地  址：河南省修武县七贤镇中铝中州铝业有限公司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联系人：王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  话：0391-3505375        15544395273（加此微信获取采购文件）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电子邮箱：3245396774@qq.com</w:t>
      </w:r>
    </w:p>
    <w:p>
      <w:pPr>
        <w:spacing w:line="440" w:lineRule="exact"/>
        <w:rPr>
          <w:rFonts w:hint="eastAsia" w:ascii="仿宋" w:hAnsi="仿宋" w:eastAsia="仿宋" w:cs="仿宋"/>
          <w:b/>
          <w:bCs w:val="0"/>
          <w:sz w:val="28"/>
          <w:szCs w:val="28"/>
          <w:lang w:val="en-US" w:eastAsia="zh-CN"/>
        </w:rPr>
      </w:pPr>
      <w:bookmarkStart w:id="13" w:name="_Toc32084"/>
      <w:r>
        <w:rPr>
          <w:rFonts w:hint="eastAsia" w:ascii="仿宋" w:hAnsi="仿宋" w:eastAsia="仿宋" w:cs="仿宋"/>
          <w:b/>
          <w:bCs w:val="0"/>
          <w:sz w:val="28"/>
          <w:szCs w:val="28"/>
          <w:lang w:val="en-US" w:eastAsia="zh-CN"/>
        </w:rPr>
        <w:t>9购买采购文件款请按如下地址汇款</w:t>
      </w:r>
      <w:bookmarkEnd w:id="1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开户行：中国工商银行焦作分行中铝支行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银行账号：1709028019200089451</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10监督部门：</w:t>
      </w:r>
      <w:r>
        <w:rPr>
          <w:rFonts w:hint="eastAsia" w:ascii="仿宋" w:hAnsi="仿宋" w:eastAsia="仿宋" w:cs="仿宋"/>
          <w:bCs/>
          <w:sz w:val="24"/>
          <w:lang w:val="en-US" w:eastAsia="zh-CN"/>
        </w:rPr>
        <w:t>投诉举报部门</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中铝中州铝业有限公司：0391-3503580</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中国铝业股份有限公司：010-82298446</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中国铝业集团有限公司：010-82298683</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邮箱：zzlyjw02@126.com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jIyMzMyMTlkNDAxNTY2NmYwY2YyZjk4N2FhNDQifQ=="/>
  </w:docVars>
  <w:rsids>
    <w:rsidRoot w:val="00000000"/>
    <w:rsid w:val="00155351"/>
    <w:rsid w:val="00BA7CA7"/>
    <w:rsid w:val="027A3611"/>
    <w:rsid w:val="02F063CD"/>
    <w:rsid w:val="031C6264"/>
    <w:rsid w:val="037B371D"/>
    <w:rsid w:val="037D6B45"/>
    <w:rsid w:val="0393643C"/>
    <w:rsid w:val="03AA4003"/>
    <w:rsid w:val="04483FA6"/>
    <w:rsid w:val="044E0E32"/>
    <w:rsid w:val="04C4495A"/>
    <w:rsid w:val="05880374"/>
    <w:rsid w:val="05B7748E"/>
    <w:rsid w:val="05C532C6"/>
    <w:rsid w:val="065E79C1"/>
    <w:rsid w:val="06973E80"/>
    <w:rsid w:val="06EC048E"/>
    <w:rsid w:val="071F7986"/>
    <w:rsid w:val="08164F8D"/>
    <w:rsid w:val="09027D76"/>
    <w:rsid w:val="0AA27488"/>
    <w:rsid w:val="0B094A63"/>
    <w:rsid w:val="0B2F3A13"/>
    <w:rsid w:val="0C880C59"/>
    <w:rsid w:val="0C9475FE"/>
    <w:rsid w:val="0D7F205C"/>
    <w:rsid w:val="0DF40C53"/>
    <w:rsid w:val="0E1F739B"/>
    <w:rsid w:val="0EEC1B28"/>
    <w:rsid w:val="0F3D3D81"/>
    <w:rsid w:val="0FD069AE"/>
    <w:rsid w:val="10D73F5D"/>
    <w:rsid w:val="11C10E95"/>
    <w:rsid w:val="11DC7A7D"/>
    <w:rsid w:val="122D02D9"/>
    <w:rsid w:val="12451511"/>
    <w:rsid w:val="12FB03D7"/>
    <w:rsid w:val="13F63820"/>
    <w:rsid w:val="142859FB"/>
    <w:rsid w:val="144E2788"/>
    <w:rsid w:val="1464310E"/>
    <w:rsid w:val="14C667C2"/>
    <w:rsid w:val="163065E9"/>
    <w:rsid w:val="165B2217"/>
    <w:rsid w:val="16677B31"/>
    <w:rsid w:val="16D43419"/>
    <w:rsid w:val="171B1048"/>
    <w:rsid w:val="17EC6540"/>
    <w:rsid w:val="190C7CE1"/>
    <w:rsid w:val="19D11E91"/>
    <w:rsid w:val="19E1223B"/>
    <w:rsid w:val="19EB1927"/>
    <w:rsid w:val="1AC92B69"/>
    <w:rsid w:val="1B2D3AE4"/>
    <w:rsid w:val="1CCC4B92"/>
    <w:rsid w:val="1D623594"/>
    <w:rsid w:val="20B53F66"/>
    <w:rsid w:val="20D0142F"/>
    <w:rsid w:val="21AA7866"/>
    <w:rsid w:val="21AF0D0A"/>
    <w:rsid w:val="22845119"/>
    <w:rsid w:val="23720241"/>
    <w:rsid w:val="24A563F4"/>
    <w:rsid w:val="24B13AD7"/>
    <w:rsid w:val="28547E75"/>
    <w:rsid w:val="28A714A1"/>
    <w:rsid w:val="292A2F83"/>
    <w:rsid w:val="29600B3C"/>
    <w:rsid w:val="29602F6C"/>
    <w:rsid w:val="297840D8"/>
    <w:rsid w:val="2A3C3357"/>
    <w:rsid w:val="2C0B7693"/>
    <w:rsid w:val="2C43774A"/>
    <w:rsid w:val="2D1D4C6D"/>
    <w:rsid w:val="2D67693D"/>
    <w:rsid w:val="2DEC690F"/>
    <w:rsid w:val="2EDD7488"/>
    <w:rsid w:val="2EDE29FD"/>
    <w:rsid w:val="30E958BB"/>
    <w:rsid w:val="318B05EC"/>
    <w:rsid w:val="31B86A3F"/>
    <w:rsid w:val="31D8306E"/>
    <w:rsid w:val="32285F6F"/>
    <w:rsid w:val="339064C2"/>
    <w:rsid w:val="33BC290D"/>
    <w:rsid w:val="346902C6"/>
    <w:rsid w:val="34E40FCA"/>
    <w:rsid w:val="35102E7B"/>
    <w:rsid w:val="351729F7"/>
    <w:rsid w:val="35C76459"/>
    <w:rsid w:val="377636F0"/>
    <w:rsid w:val="37C07F75"/>
    <w:rsid w:val="38F4304F"/>
    <w:rsid w:val="38F73281"/>
    <w:rsid w:val="3AAC3BE1"/>
    <w:rsid w:val="3AE96BE3"/>
    <w:rsid w:val="3C3E6CFB"/>
    <w:rsid w:val="3C6A5B02"/>
    <w:rsid w:val="3E0E49C6"/>
    <w:rsid w:val="3EBE79F3"/>
    <w:rsid w:val="3ED2731A"/>
    <w:rsid w:val="3FC30CA2"/>
    <w:rsid w:val="3FE43E1D"/>
    <w:rsid w:val="401A783F"/>
    <w:rsid w:val="406805AA"/>
    <w:rsid w:val="411C2913"/>
    <w:rsid w:val="43E02B4D"/>
    <w:rsid w:val="44590819"/>
    <w:rsid w:val="446724B7"/>
    <w:rsid w:val="45476DEF"/>
    <w:rsid w:val="45C368D4"/>
    <w:rsid w:val="464E0242"/>
    <w:rsid w:val="465B295F"/>
    <w:rsid w:val="46CE4098"/>
    <w:rsid w:val="490F1FF3"/>
    <w:rsid w:val="49695393"/>
    <w:rsid w:val="497955D6"/>
    <w:rsid w:val="49C643CF"/>
    <w:rsid w:val="49E07403"/>
    <w:rsid w:val="49F37DF6"/>
    <w:rsid w:val="4B4843E2"/>
    <w:rsid w:val="4C27758A"/>
    <w:rsid w:val="4CA57490"/>
    <w:rsid w:val="4CFD651E"/>
    <w:rsid w:val="4E4572F4"/>
    <w:rsid w:val="4EDB288F"/>
    <w:rsid w:val="51735001"/>
    <w:rsid w:val="523C1897"/>
    <w:rsid w:val="52F23C05"/>
    <w:rsid w:val="52F83A10"/>
    <w:rsid w:val="538C00C5"/>
    <w:rsid w:val="550A42E0"/>
    <w:rsid w:val="56140091"/>
    <w:rsid w:val="5716224D"/>
    <w:rsid w:val="571748E3"/>
    <w:rsid w:val="581D594B"/>
    <w:rsid w:val="59395101"/>
    <w:rsid w:val="5AFD146D"/>
    <w:rsid w:val="5B5434A8"/>
    <w:rsid w:val="5B5E287E"/>
    <w:rsid w:val="5BF154A0"/>
    <w:rsid w:val="5C031BC4"/>
    <w:rsid w:val="5C0F4FE4"/>
    <w:rsid w:val="5C2141E5"/>
    <w:rsid w:val="5D6F11AF"/>
    <w:rsid w:val="5DA3376E"/>
    <w:rsid w:val="5E863CA9"/>
    <w:rsid w:val="5EC155FD"/>
    <w:rsid w:val="5F7F56ED"/>
    <w:rsid w:val="603248F4"/>
    <w:rsid w:val="60662791"/>
    <w:rsid w:val="62272952"/>
    <w:rsid w:val="62DF10A6"/>
    <w:rsid w:val="63875FB1"/>
    <w:rsid w:val="64D50E4D"/>
    <w:rsid w:val="651E6BDA"/>
    <w:rsid w:val="652D5C58"/>
    <w:rsid w:val="65D0673C"/>
    <w:rsid w:val="662D3262"/>
    <w:rsid w:val="66636F9A"/>
    <w:rsid w:val="66CD3A0C"/>
    <w:rsid w:val="67916D24"/>
    <w:rsid w:val="68103152"/>
    <w:rsid w:val="68554ED4"/>
    <w:rsid w:val="69856C60"/>
    <w:rsid w:val="6A627023"/>
    <w:rsid w:val="6B3E73F7"/>
    <w:rsid w:val="6BAD0EBB"/>
    <w:rsid w:val="6BE94B93"/>
    <w:rsid w:val="6C092392"/>
    <w:rsid w:val="6C4D6722"/>
    <w:rsid w:val="6CC43549"/>
    <w:rsid w:val="6D0D7C60"/>
    <w:rsid w:val="6D8242FF"/>
    <w:rsid w:val="6E9F6FDD"/>
    <w:rsid w:val="6EA07640"/>
    <w:rsid w:val="6EC711C7"/>
    <w:rsid w:val="6EFB29F9"/>
    <w:rsid w:val="6F060E0B"/>
    <w:rsid w:val="6F273B31"/>
    <w:rsid w:val="707814EF"/>
    <w:rsid w:val="70AD26B9"/>
    <w:rsid w:val="71E52089"/>
    <w:rsid w:val="71ED7056"/>
    <w:rsid w:val="72543333"/>
    <w:rsid w:val="728F1117"/>
    <w:rsid w:val="732C01D1"/>
    <w:rsid w:val="73DD17AE"/>
    <w:rsid w:val="73E01C41"/>
    <w:rsid w:val="740578E3"/>
    <w:rsid w:val="74624D35"/>
    <w:rsid w:val="75181898"/>
    <w:rsid w:val="7568697B"/>
    <w:rsid w:val="7723759C"/>
    <w:rsid w:val="77720653"/>
    <w:rsid w:val="77E572A5"/>
    <w:rsid w:val="77F55EC0"/>
    <w:rsid w:val="780D4FB8"/>
    <w:rsid w:val="78355FAD"/>
    <w:rsid w:val="79246A5D"/>
    <w:rsid w:val="7A22256E"/>
    <w:rsid w:val="7A2A7DCB"/>
    <w:rsid w:val="7B564EC8"/>
    <w:rsid w:val="7B747B10"/>
    <w:rsid w:val="7B9A4DB4"/>
    <w:rsid w:val="7D5B2A16"/>
    <w:rsid w:val="7F062761"/>
    <w:rsid w:val="7F0B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line="360" w:lineRule="auto"/>
      <w:jc w:val="center"/>
      <w:outlineLvl w:val="0"/>
    </w:pPr>
    <w:rPr>
      <w:rFonts w:ascii="黑体" w:hAnsi="宋体" w:eastAsia="黑体"/>
      <w:kern w:val="44"/>
      <w:sz w:val="30"/>
      <w:szCs w:val="44"/>
    </w:rPr>
  </w:style>
  <w:style w:type="paragraph" w:styleId="5">
    <w:name w:val="heading 2"/>
    <w:basedOn w:val="1"/>
    <w:next w:val="1"/>
    <w:qFormat/>
    <w:uiPriority w:val="0"/>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character" w:default="1" w:styleId="14">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qFormat/>
    <w:uiPriority w:val="0"/>
    <w:pPr>
      <w:widowControl w:val="0"/>
      <w:spacing w:after="120"/>
      <w:ind w:firstLine="420" w:firstLineChars="100"/>
      <w:jc w:val="both"/>
    </w:pPr>
    <w:rPr>
      <w:kern w:val="2"/>
      <w:sz w:val="21"/>
      <w:szCs w:val="24"/>
      <w:lang w:val="en-US" w:eastAsia="zh-CN" w:bidi="ar-SA"/>
    </w:rPr>
  </w:style>
  <w:style w:type="paragraph" w:styleId="3">
    <w:name w:val="Body Text"/>
    <w:basedOn w:val="1"/>
    <w:next w:val="1"/>
    <w:qFormat/>
    <w:uiPriority w:val="0"/>
    <w:pPr>
      <w:spacing w:after="120"/>
    </w:pPr>
  </w:style>
  <w:style w:type="paragraph" w:styleId="6">
    <w:name w:val="index 8"/>
    <w:basedOn w:val="1"/>
    <w:next w:val="1"/>
    <w:qFormat/>
    <w:uiPriority w:val="0"/>
    <w:pPr>
      <w:ind w:left="0" w:firstLine="800" w:firstLineChars="200"/>
    </w:pPr>
    <w:rPr>
      <w:rFonts w:ascii="Calibri" w:hAnsi="Calibri" w:eastAsia="仿宋_GB2312" w:cs="Times New Roman"/>
      <w:sz w:val="32"/>
    </w:rPr>
  </w:style>
  <w:style w:type="paragraph" w:styleId="7">
    <w:name w:val="Normal Indent"/>
    <w:basedOn w:val="1"/>
    <w:qFormat/>
    <w:uiPriority w:val="0"/>
    <w:pPr>
      <w:spacing w:line="360" w:lineRule="auto"/>
      <w:ind w:firstLine="200" w:firstLineChars="200"/>
    </w:pPr>
    <w:rPr>
      <w:rFonts w:ascii="宋体" w:hAnsi="宋体"/>
      <w:sz w:val="24"/>
      <w:szCs w:val="20"/>
    </w:rPr>
  </w:style>
  <w:style w:type="paragraph" w:styleId="8">
    <w:name w:val="annotation text"/>
    <w:basedOn w:val="1"/>
    <w:qFormat/>
    <w:uiPriority w:val="0"/>
    <w:pPr>
      <w:jc w:val="left"/>
    </w:pPr>
    <w:rPr>
      <w:rFonts w:ascii="Calibri" w:hAnsi="Calibri" w:eastAsia="宋体" w:cs="Times New Roman"/>
    </w:rPr>
  </w:style>
  <w:style w:type="paragraph" w:styleId="9">
    <w:name w:val="Body Text Indent"/>
    <w:basedOn w:val="1"/>
    <w:next w:val="7"/>
    <w:qFormat/>
    <w:uiPriority w:val="0"/>
    <w:pPr>
      <w:widowControl/>
      <w:spacing w:after="120" w:afterAutospacing="0"/>
      <w:ind w:left="420" w:leftChars="200"/>
      <w:jc w:val="left"/>
    </w:pPr>
    <w:rPr>
      <w:kern w:val="0"/>
      <w:sz w:val="20"/>
      <w:szCs w:val="20"/>
      <w:lang w:val="en-GB" w:eastAsia="en-US"/>
    </w:rPr>
  </w:style>
  <w:style w:type="paragraph" w:styleId="10">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1">
    <w:name w:val="Body Text 2"/>
    <w:basedOn w:val="1"/>
    <w:next w:val="3"/>
    <w:qFormat/>
    <w:uiPriority w:val="0"/>
    <w:pPr>
      <w:spacing w:after="120" w:line="480" w:lineRule="auto"/>
    </w:pPr>
  </w:style>
  <w:style w:type="paragraph" w:styleId="12">
    <w:name w:val="Body Text First Indent 2"/>
    <w:basedOn w:val="9"/>
    <w:next w:val="2"/>
    <w:unhideWhenUsed/>
    <w:qFormat/>
    <w:uiPriority w:val="99"/>
    <w:pPr>
      <w:spacing w:before="100" w:beforeAutospacing="1"/>
      <w:ind w:left="200" w:firstLine="420"/>
    </w:pPr>
  </w:style>
  <w:style w:type="character" w:customStyle="1" w:styleId="15">
    <w:name w:val="font12"/>
    <w:basedOn w:val="14"/>
    <w:qFormat/>
    <w:uiPriority w:val="0"/>
    <w:rPr>
      <w:rFonts w:hint="eastAsia" w:ascii="仿宋" w:hAnsi="仿宋" w:eastAsia="仿宋" w:cs="仿宋"/>
      <w:b/>
      <w:bCs/>
      <w:color w:val="000000"/>
      <w:sz w:val="24"/>
      <w:szCs w:val="24"/>
      <w:u w:val="none"/>
    </w:rPr>
  </w:style>
  <w:style w:type="character" w:customStyle="1" w:styleId="16">
    <w:name w:val="font111"/>
    <w:basedOn w:val="14"/>
    <w:qFormat/>
    <w:uiPriority w:val="0"/>
    <w:rPr>
      <w:rFonts w:hint="eastAsia" w:ascii="宋体" w:hAnsi="宋体" w:eastAsia="宋体" w:cs="宋体"/>
      <w:color w:val="000000"/>
      <w:sz w:val="22"/>
      <w:szCs w:val="22"/>
      <w:u w:val="none"/>
    </w:rPr>
  </w:style>
  <w:style w:type="character" w:customStyle="1" w:styleId="17">
    <w:name w:val="font122"/>
    <w:basedOn w:val="14"/>
    <w:qFormat/>
    <w:uiPriority w:val="0"/>
    <w:rPr>
      <w:rFonts w:hint="eastAsia" w:ascii="仿宋" w:hAnsi="仿宋" w:eastAsia="仿宋" w:cs="仿宋"/>
      <w:color w:val="000000"/>
      <w:sz w:val="24"/>
      <w:szCs w:val="24"/>
      <w:u w:val="none"/>
    </w:rPr>
  </w:style>
  <w:style w:type="character" w:customStyle="1" w:styleId="18">
    <w:name w:val="font221"/>
    <w:basedOn w:val="14"/>
    <w:qFormat/>
    <w:uiPriority w:val="0"/>
    <w:rPr>
      <w:rFonts w:hint="eastAsia" w:ascii="仿宋" w:hAnsi="仿宋" w:eastAsia="仿宋" w:cs="仿宋"/>
      <w:color w:val="000000"/>
      <w:sz w:val="20"/>
      <w:szCs w:val="20"/>
      <w:u w:val="none"/>
      <w:vertAlign w:val="subscript"/>
    </w:rPr>
  </w:style>
  <w:style w:type="paragraph" w:customStyle="1" w:styleId="19">
    <w:name w:val="列出段落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1997</Words>
  <Characters>2333</Characters>
  <Lines>0</Lines>
  <Paragraphs>0</Paragraphs>
  <TotalTime>0</TotalTime>
  <ScaleCrop>false</ScaleCrop>
  <LinksUpToDate>false</LinksUpToDate>
  <CharactersWithSpaces>2365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2023-06-16T02:53:00Z</dcterms:created>
  <dc:creator>Administrator</dc:creator>
  <cp:lastModifiedBy>Administrator</cp:lastModifiedBy>
  <dcterms:modified xsi:type="dcterms:W3CDTF">2026-09-21T08:12:42Z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E2998739EB744DF798B4578CEF13DF38_13</vt:lpwstr>
  </property>
</Properties>
</file>