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before="156" w:after="156" w:line="360" w:lineRule="auto"/>
        <w:jc w:val="center"/>
        <w:textAlignment w:val="baseline"/>
        <w:rPr>
          <w:rFonts w:hint="eastAsia" w:ascii="黑体" w:hAnsi="黑体" w:eastAsia="黑体" w:cs="黑体"/>
          <w:bCs/>
          <w:sz w:val="36"/>
          <w:szCs w:val="36"/>
          <w:lang w:eastAsia="zh-CN"/>
        </w:rPr>
      </w:pPr>
      <w:r>
        <w:rPr>
          <w:rFonts w:hint="eastAsia" w:ascii="黑体" w:hAnsi="黑体" w:eastAsia="黑体" w:cs="黑体"/>
          <w:bCs/>
          <w:sz w:val="36"/>
          <w:szCs w:val="36"/>
          <w:lang w:eastAsia="zh-CN"/>
        </w:rPr>
        <w:t>中铝中州矿业有限公司宝丰县石板河东铝土矿开采方案及生态修复方案编制项目采购公告</w:t>
      </w:r>
    </w:p>
    <w:p>
      <w:pPr>
        <w:snapToGrid w:val="0"/>
        <w:spacing w:before="156" w:after="156" w:line="360" w:lineRule="auto"/>
        <w:jc w:val="center"/>
        <w:textAlignment w:val="baseline"/>
        <w:rPr>
          <w:rFonts w:hint="default" w:ascii="Calibri" w:hAnsi="Calibri" w:eastAsia="宋体" w:cs="Times New Roman"/>
          <w:b/>
          <w:color w:val="auto"/>
          <w:sz w:val="32"/>
          <w:szCs w:val="32"/>
          <w:highlight w:val="none"/>
          <w:lang w:val="en-US"/>
        </w:rPr>
      </w:pPr>
      <w:r>
        <w:rPr>
          <w:rFonts w:hint="eastAsia" w:ascii="黑体" w:hAnsi="黑体" w:eastAsia="黑体" w:cs="黑体"/>
          <w:bCs/>
          <w:sz w:val="36"/>
          <w:szCs w:val="36"/>
          <w:lang w:eastAsia="zh-CN"/>
        </w:rPr>
        <w:t>采购编号：</w:t>
      </w:r>
      <w:r>
        <w:rPr>
          <w:rFonts w:hint="eastAsia" w:ascii="黑体" w:hAnsi="黑体" w:eastAsia="黑体" w:cs="黑体"/>
          <w:bCs/>
          <w:sz w:val="36"/>
          <w:szCs w:val="36"/>
          <w:lang w:val="en-US" w:eastAsia="zh-CN"/>
        </w:rPr>
        <w:t>CG-ZZ-202609-SCGK-SCJSK-004</w:t>
      </w:r>
    </w:p>
    <w:p>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仿宋" w:hAnsi="仿宋" w:eastAsia="仿宋" w:cs="仿宋"/>
          <w:b/>
          <w:bCs w:val="0"/>
          <w:sz w:val="28"/>
          <w:szCs w:val="28"/>
          <w:lang w:val="en-US" w:eastAsia="zh-CN"/>
        </w:rPr>
      </w:pPr>
      <w:r>
        <w:rPr>
          <w:rFonts w:hint="eastAsia" w:ascii="仿宋" w:hAnsi="仿宋" w:eastAsia="仿宋" w:cs="仿宋"/>
          <w:b/>
          <w:bCs w:val="0"/>
          <w:sz w:val="28"/>
          <w:szCs w:val="28"/>
          <w:lang w:val="en-US" w:eastAsia="zh-CN"/>
        </w:rPr>
        <w:t>1采购条件</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_GB2312" w:eastAsia="仿宋_GB2312" w:cs="Times New Roman"/>
          <w:bCs/>
          <w:sz w:val="24"/>
          <w:lang w:eastAsia="zh-CN"/>
        </w:rPr>
        <w:t>中铝中州矿业有限公司宝丰县石板河东铝土矿开采方案及生态修复方案编制项目</w:t>
      </w:r>
      <w:r>
        <w:rPr>
          <w:rFonts w:hint="eastAsia" w:ascii="仿宋" w:hAnsi="仿宋" w:eastAsia="仿宋" w:cs="仿宋"/>
          <w:bCs/>
          <w:sz w:val="24"/>
          <w:lang w:val="en-US" w:eastAsia="zh-CN"/>
        </w:rPr>
        <w:t>已具备采购条件，资金自筹且已落实。采购人为：中铝中州铝业有限公司生产管控中心。采购人对该项目进行竞价采购，报价方式为现场报价。</w:t>
      </w:r>
    </w:p>
    <w:p>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仿宋" w:hAnsi="仿宋" w:eastAsia="仿宋" w:cs="仿宋"/>
          <w:b/>
          <w:bCs w:val="0"/>
          <w:sz w:val="28"/>
          <w:szCs w:val="28"/>
          <w:lang w:val="en-US" w:eastAsia="zh-CN"/>
        </w:rPr>
      </w:pPr>
      <w:r>
        <w:rPr>
          <w:rFonts w:hint="eastAsia" w:ascii="仿宋" w:hAnsi="仿宋" w:eastAsia="仿宋" w:cs="仿宋"/>
          <w:b/>
          <w:bCs w:val="0"/>
          <w:sz w:val="28"/>
          <w:szCs w:val="28"/>
          <w:lang w:val="en-US" w:eastAsia="zh-CN"/>
        </w:rPr>
        <w:t>2项目概况及采购范围</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2.1项目名称：</w:t>
      </w:r>
      <w:r>
        <w:rPr>
          <w:rFonts w:hint="eastAsia" w:ascii="仿宋_GB2312" w:eastAsia="仿宋_GB2312" w:cs="Times New Roman"/>
          <w:bCs/>
          <w:sz w:val="24"/>
          <w:lang w:eastAsia="zh-CN"/>
        </w:rPr>
        <w:t>中铝中州矿业有限公司宝丰县石板河东铝土矿开采方案及生态修复方案编制项目</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default" w:ascii="仿宋" w:hAnsi="仿宋" w:eastAsia="仿宋" w:cs="仿宋"/>
          <w:bCs/>
          <w:sz w:val="24"/>
          <w:lang w:val="en-US" w:eastAsia="zh-CN"/>
        </w:rPr>
      </w:pPr>
      <w:r>
        <w:rPr>
          <w:rFonts w:hint="eastAsia" w:ascii="仿宋" w:hAnsi="仿宋" w:eastAsia="仿宋" w:cs="仿宋"/>
          <w:bCs/>
          <w:sz w:val="24"/>
          <w:lang w:val="en-US" w:eastAsia="zh-CN"/>
        </w:rPr>
        <w:t>2.2项目类型：技术服务</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2.3项目概况：</w:t>
      </w:r>
      <w:r>
        <w:rPr>
          <w:rFonts w:hint="eastAsia" w:ascii="仿宋_GB2312" w:eastAsia="仿宋_GB2312"/>
          <w:sz w:val="24"/>
        </w:rPr>
        <w:t xml:space="preserve">石板河东铝土矿采矿证号C4100002011123110124083。2021年7月石板河东铝土矿《矿产资源开采与生态修复方案》进行备案，目前已过期，需要重新编制。根据采矿许可证：批准开采矿种为铝土矿；开采方式为露天；生产规模 10 万吨/年，矿区面积 </w:t>
      </w:r>
      <w:r>
        <w:rPr>
          <w:rFonts w:ascii="仿宋_GB2312" w:eastAsia="仿宋_GB2312"/>
          <w:sz w:val="24"/>
        </w:rPr>
        <w:t>1.5047</w:t>
      </w:r>
      <w:r>
        <w:rPr>
          <w:rFonts w:hint="eastAsia" w:ascii="仿宋_GB2312" w:eastAsia="仿宋_GB2312"/>
          <w:sz w:val="24"/>
        </w:rPr>
        <w:t>km2；开采标高从 385m 至 100m。该矿山一直没有生产，处于停产状态</w:t>
      </w:r>
      <w:r>
        <w:rPr>
          <w:rFonts w:hint="eastAsia" w:ascii="仿宋" w:hAnsi="仿宋" w:eastAsia="仿宋" w:cs="仿宋"/>
          <w:bCs/>
          <w:sz w:val="24"/>
          <w:lang w:val="en-US" w:eastAsia="zh-CN"/>
        </w:rPr>
        <w:t>。</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2.4项目地点：</w:t>
      </w:r>
      <w:r>
        <w:rPr>
          <w:rFonts w:hint="eastAsia" w:ascii="仿宋_GB2312" w:eastAsia="仿宋_GB2312"/>
          <w:bCs/>
          <w:sz w:val="24"/>
        </w:rPr>
        <w:t>平顶山市宝丰县</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2.5主要工作内容及质量标准要求：</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2.5.1主要内容：</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_GB2312" w:eastAsia="仿宋_GB2312"/>
          <w:sz w:val="24"/>
        </w:rPr>
        <w:t>按照2018年《河南省中国铝业股份有限公司宝丰县石板河铝土矿资源储量（整合）核实报告》，根据《河南省白然资源厅关于进一步规范矿产资源勘查方案和开采方案编制评审工作的公告》的编制大纲及相关要求编制、评审备案《石板河东铝土矿开采方案》。根据《矿区生态修复方案编制指南(临时)》的编制大纲及相关要求编制、评审备案《生态修复方案》</w:t>
      </w:r>
      <w:r>
        <w:rPr>
          <w:rFonts w:hint="eastAsia" w:ascii="仿宋" w:hAnsi="仿宋" w:eastAsia="仿宋" w:cs="仿宋"/>
          <w:bCs/>
          <w:sz w:val="24"/>
          <w:lang w:val="en-US" w:eastAsia="zh-CN"/>
        </w:rPr>
        <w:t>。</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2.5.2质量要求：</w:t>
      </w:r>
      <w:r>
        <w:rPr>
          <w:rFonts w:hint="eastAsia" w:ascii="仿宋_GB2312" w:eastAsia="仿宋_GB2312"/>
          <w:bCs/>
          <w:sz w:val="24"/>
        </w:rPr>
        <w:t>按照《中华人民共和国矿产资源法》（2025.7.1施行）、《河南省自然资源厅关于进一步规范矿产资源勘查方案和开采方案编制评审工作的公告》（豫自然资公告〔2025〕12 号）《矿区生态修复方案编制指南（临时）》等文件要求编制，符合河南省编制大纲及评审要求</w:t>
      </w:r>
      <w:r>
        <w:rPr>
          <w:rFonts w:hint="eastAsia" w:ascii="仿宋" w:hAnsi="仿宋" w:eastAsia="仿宋" w:cs="仿宋"/>
          <w:bCs/>
          <w:sz w:val="24"/>
          <w:lang w:val="en-US" w:eastAsia="zh-CN"/>
        </w:rPr>
        <w:t>。</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2.6报价注意事项：无。</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2.7其他要求：见合同格式中的相应条款。</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default" w:ascii="仿宋" w:hAnsi="仿宋" w:eastAsia="仿宋" w:cs="仿宋"/>
          <w:bCs/>
          <w:sz w:val="24"/>
          <w:lang w:val="en-US" w:eastAsia="zh-CN"/>
        </w:rPr>
      </w:pPr>
      <w:r>
        <w:rPr>
          <w:rFonts w:hint="eastAsia" w:ascii="仿宋" w:hAnsi="仿宋" w:eastAsia="仿宋" w:cs="仿宋"/>
          <w:bCs/>
          <w:sz w:val="24"/>
          <w:lang w:val="en-US" w:eastAsia="zh-CN"/>
        </w:rPr>
        <w:t>2.8工期：</w:t>
      </w:r>
      <w:r>
        <w:rPr>
          <w:rFonts w:hint="eastAsia" w:ascii="仿宋_GB2312" w:eastAsia="仿宋_GB2312"/>
          <w:sz w:val="24"/>
          <w:lang w:val="zh-CN"/>
        </w:rPr>
        <w:t>石板河东铝土矿开采方案要求自合同签订之日起1个月内完成方案初稿、3个月内完成方案的评审及备案。生态修复方案要求自开采方案评审1个月内完成初稿，2个月内完成评审备案</w:t>
      </w:r>
      <w:r>
        <w:rPr>
          <w:rFonts w:hint="eastAsia" w:ascii="仿宋" w:hAnsi="仿宋" w:eastAsia="仿宋" w:cs="仿宋"/>
          <w:bCs/>
          <w:sz w:val="24"/>
          <w:lang w:val="en-US" w:eastAsia="zh-CN"/>
        </w:rPr>
        <w:t>。</w:t>
      </w:r>
    </w:p>
    <w:p>
      <w:pPr>
        <w:spacing w:line="440" w:lineRule="exact"/>
        <w:ind w:firstLine="562" w:firstLineChars="200"/>
        <w:rPr>
          <w:rFonts w:hint="eastAsia" w:ascii="仿宋" w:hAnsi="仿宋" w:eastAsia="仿宋" w:cs="仿宋"/>
          <w:b/>
          <w:bCs w:val="0"/>
          <w:sz w:val="28"/>
          <w:szCs w:val="28"/>
          <w:lang w:val="en-US" w:eastAsia="zh-CN"/>
        </w:rPr>
      </w:pPr>
      <w:r>
        <w:rPr>
          <w:rFonts w:hint="eastAsia" w:ascii="仿宋" w:hAnsi="仿宋" w:eastAsia="仿宋" w:cs="仿宋"/>
          <w:b/>
          <w:bCs w:val="0"/>
          <w:sz w:val="28"/>
          <w:szCs w:val="28"/>
          <w:lang w:val="en-US" w:eastAsia="zh-CN"/>
        </w:rPr>
        <w:t>3报价人资格要求</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_GB2312" w:eastAsia="仿宋_GB2312"/>
          <w:sz w:val="24"/>
          <w:lang w:val="zh-CN"/>
        </w:rPr>
      </w:pPr>
      <w:r>
        <w:rPr>
          <w:rFonts w:hint="eastAsia" w:ascii="仿宋_GB2312" w:eastAsia="仿宋_GB2312"/>
          <w:sz w:val="24"/>
          <w:lang w:val="zh-CN"/>
        </w:rPr>
        <w:t>3.1、报价人应为中华人民共和国境内</w:t>
      </w:r>
      <w:r>
        <w:rPr>
          <w:rFonts w:hint="eastAsia" w:ascii="仿宋_GB2312" w:eastAsia="仿宋_GB2312"/>
          <w:sz w:val="24"/>
          <w:lang w:val="zh-CN" w:eastAsia="zh-CN"/>
        </w:rPr>
        <w:t>注册</w:t>
      </w:r>
      <w:r>
        <w:rPr>
          <w:rFonts w:hint="eastAsia" w:ascii="仿宋_GB2312" w:eastAsia="仿宋_GB2312"/>
          <w:sz w:val="24"/>
          <w:lang w:val="zh-CN"/>
        </w:rPr>
        <w:t>的，提供有效的营业执照扫描件;</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_GB2312" w:eastAsia="仿宋_GB2312"/>
          <w:sz w:val="24"/>
          <w:lang w:val="zh-CN"/>
        </w:rPr>
      </w:pPr>
      <w:r>
        <w:rPr>
          <w:rFonts w:hint="eastAsia" w:ascii="仿宋_GB2312" w:eastAsia="仿宋_GB2312"/>
          <w:sz w:val="24"/>
          <w:lang w:val="zh-CN"/>
        </w:rPr>
        <w:t>3.2、拥有矿山设计或固体矿产勘查技术能力，项目负责人为地质、采矿中级及以上职称，确保报告满足评审受理要求。具备履行合同的能力;包括资质状况，专业、技术资格和能力，资金、设备和其他设施状况，管理能力，经验、信誉和相应的从业人员;</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_GB2312" w:eastAsia="仿宋_GB2312"/>
          <w:sz w:val="24"/>
          <w:lang w:val="zh-CN"/>
        </w:rPr>
      </w:pPr>
      <w:r>
        <w:rPr>
          <w:rFonts w:hint="eastAsia" w:ascii="仿宋_GB2312" w:eastAsia="仿宋_GB2312"/>
          <w:sz w:val="24"/>
          <w:lang w:val="zh-CN"/>
        </w:rPr>
        <w:t>3.3、报价人没有处于被责令停业，报价资格没有被取消，财产没有被接管、冻结、破产状态;在最近三年内没有骗取中选和严重违约及重大质量问题;</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_GB2312" w:eastAsia="仿宋_GB2312"/>
          <w:sz w:val="24"/>
          <w:lang w:val="zh-CN"/>
        </w:rPr>
      </w:pPr>
      <w:r>
        <w:rPr>
          <w:rFonts w:hint="eastAsia" w:ascii="仿宋_GB2312" w:eastAsia="仿宋_GB2312"/>
          <w:sz w:val="24"/>
          <w:lang w:val="zh-CN"/>
        </w:rPr>
        <w:t>3.4、在承接类似于本项目的相关业务中，没有出现报价人负主要责任的安全、技术、质量、商务等纠纷，没有产生严重后果，造成重大经济损失，不得在招报价数据库中存在不良记录;</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_GB2312" w:eastAsia="仿宋_GB2312"/>
          <w:sz w:val="24"/>
          <w:lang w:val="zh-CN"/>
        </w:rPr>
      </w:pPr>
      <w:r>
        <w:rPr>
          <w:rFonts w:hint="eastAsia" w:ascii="仿宋_GB2312" w:eastAsia="仿宋_GB2312"/>
          <w:sz w:val="24"/>
          <w:lang w:val="zh-CN"/>
        </w:rPr>
        <w:t>3.5、信誉要求:报价人在全国法院失信被执行人名单信息公布与查询网(http://zxgk.court.gov.cn)和国家发展改革委信用中国(www.creditchina.gov.cn)网站上未被列入失信被执行人、重大税收违法案件当事人名单;未列入中铝集团有限公司承包商黑名单。</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_GB2312" w:eastAsia="仿宋_GB2312"/>
          <w:sz w:val="24"/>
          <w:lang w:val="zh-CN"/>
        </w:rPr>
      </w:pPr>
      <w:r>
        <w:rPr>
          <w:rFonts w:hint="eastAsia" w:ascii="仿宋_GB2312" w:eastAsia="仿宋_GB2312"/>
          <w:sz w:val="24"/>
          <w:lang w:val="zh-CN"/>
        </w:rPr>
        <w:t>3.6、具备法律、行政法规规定的其他资格条件。</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_GB2312" w:eastAsia="仿宋_GB2312"/>
          <w:sz w:val="24"/>
          <w:lang w:val="zh-CN"/>
        </w:rPr>
      </w:pPr>
      <w:r>
        <w:rPr>
          <w:rFonts w:hint="eastAsia" w:ascii="仿宋_GB2312" w:eastAsia="仿宋_GB2312"/>
          <w:sz w:val="24"/>
          <w:lang w:val="zh-CN"/>
        </w:rPr>
        <w:t>3.7、本项目不允许联合体报价。</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_GB2312" w:eastAsia="仿宋_GB2312"/>
          <w:sz w:val="24"/>
          <w:lang w:val="zh-CN"/>
        </w:rPr>
      </w:pPr>
      <w:r>
        <w:rPr>
          <w:rFonts w:hint="eastAsia" w:ascii="仿宋_GB2312" w:eastAsia="仿宋_GB2312"/>
          <w:sz w:val="24"/>
          <w:lang w:val="zh-CN"/>
        </w:rPr>
        <w:t>3.8、报价人的安全能力能满足采购文件的要求，包括资质能力、管理能力、人员能力、绩效能力等。</w:t>
      </w:r>
    </w:p>
    <w:p>
      <w:pPr>
        <w:spacing w:line="440" w:lineRule="exact"/>
        <w:ind w:firstLine="562" w:firstLineChars="200"/>
        <w:rPr>
          <w:rFonts w:hint="eastAsia" w:ascii="仿宋" w:hAnsi="仿宋" w:eastAsia="仿宋" w:cs="仿宋"/>
          <w:b/>
          <w:bCs w:val="0"/>
          <w:sz w:val="28"/>
          <w:szCs w:val="28"/>
          <w:lang w:val="en-US" w:eastAsia="zh-CN"/>
        </w:rPr>
      </w:pPr>
      <w:r>
        <w:rPr>
          <w:rFonts w:hint="eastAsia" w:ascii="仿宋" w:hAnsi="仿宋" w:eastAsia="仿宋" w:cs="仿宋"/>
          <w:b/>
          <w:bCs w:val="0"/>
          <w:sz w:val="28"/>
          <w:szCs w:val="28"/>
          <w:lang w:val="en-US" w:eastAsia="zh-CN"/>
        </w:rPr>
        <w:t>4采购报名和采购文件的获取</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bookmarkStart w:id="0" w:name="_Toc517804008"/>
      <w:bookmarkStart w:id="1" w:name="_Toc518044994"/>
      <w:bookmarkStart w:id="2" w:name="_Toc27489"/>
      <w:bookmarkStart w:id="3" w:name="_Toc3201944"/>
      <w:r>
        <w:rPr>
          <w:rFonts w:hint="eastAsia" w:ascii="仿宋" w:hAnsi="仿宋" w:eastAsia="仿宋" w:cs="仿宋"/>
          <w:bCs/>
          <w:sz w:val="24"/>
          <w:lang w:val="en-US" w:eastAsia="zh-CN"/>
        </w:rPr>
        <w:t>4.1 采购文件的价格为200元/份，采购文件购买后该费用无论何种原因或中选与否均不予退还。采购文件必须通过联系人获取，未通过联系人获取采购文件的均视为无效采购，取消其报价资格。拟报价人必须将付款凭证原件、传真（或扫描后微信发送）传送至联系人后方可取得采购文件（纸质版或电子版）。纸质版可到采购人处领取，电子版通过微信方式发至报价联系人。</w:t>
      </w:r>
    </w:p>
    <w:p>
      <w:pPr>
        <w:spacing w:line="400" w:lineRule="exact"/>
        <w:ind w:firstLine="480"/>
        <w:rPr>
          <w:rFonts w:hint="eastAsia" w:ascii="仿宋_GB2312" w:eastAsia="仿宋_GB2312"/>
          <w:bCs/>
          <w:color w:val="000000"/>
          <w:sz w:val="24"/>
          <w:highlight w:val="none"/>
        </w:rPr>
      </w:pPr>
      <w:r>
        <w:rPr>
          <w:rFonts w:hint="eastAsia" w:ascii="仿宋_GB2312" w:eastAsia="仿宋_GB2312"/>
          <w:bCs/>
          <w:color w:val="000000"/>
          <w:sz w:val="24"/>
          <w:highlight w:val="green"/>
          <w:lang w:eastAsia="zh-CN"/>
        </w:rPr>
        <w:t>报价保证金</w:t>
      </w:r>
      <w:r>
        <w:rPr>
          <w:rFonts w:hint="eastAsia" w:ascii="仿宋_GB2312" w:eastAsia="仿宋_GB2312"/>
          <w:bCs/>
          <w:color w:val="000000"/>
          <w:sz w:val="24"/>
          <w:highlight w:val="green"/>
          <w:lang w:val="en-US" w:eastAsia="zh-CN"/>
        </w:rPr>
        <w:t>3000元（叁仟元整）</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汇款信息如下（保证金必须是公对公汇款）：</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开户名称：中铝中州矿业有限公司</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开户行：中国银行焦作山阳支行</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default" w:ascii="仿宋" w:hAnsi="仿宋" w:eastAsia="仿宋" w:cs="仿宋"/>
          <w:bCs/>
          <w:sz w:val="24"/>
          <w:lang w:val="en-US" w:eastAsia="zh-CN"/>
        </w:rPr>
      </w:pPr>
      <w:r>
        <w:rPr>
          <w:rFonts w:hint="eastAsia" w:ascii="仿宋" w:hAnsi="仿宋" w:eastAsia="仿宋" w:cs="仿宋"/>
          <w:bCs/>
          <w:sz w:val="24"/>
          <w:lang w:val="en-US" w:eastAsia="zh-CN"/>
        </w:rPr>
        <w:t>银行账号：259865455392</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default" w:ascii="仿宋" w:hAnsi="仿宋" w:eastAsia="仿宋" w:cs="仿宋"/>
          <w:bCs/>
          <w:sz w:val="24"/>
          <w:lang w:val="en-US" w:eastAsia="zh-CN"/>
        </w:rPr>
      </w:pPr>
      <w:r>
        <w:rPr>
          <w:rFonts w:hint="eastAsia" w:ascii="仿宋" w:hAnsi="仿宋" w:eastAsia="仿宋" w:cs="仿宋"/>
          <w:bCs/>
          <w:sz w:val="24"/>
          <w:lang w:val="en-US" w:eastAsia="zh-CN"/>
        </w:rPr>
        <w:t>汇款备注中，须注明</w:t>
      </w:r>
      <w:r>
        <w:rPr>
          <w:rFonts w:hint="eastAsia" w:ascii="仿宋_GB2312" w:hAnsi="仿宋_GB2312" w:eastAsia="仿宋_GB2312" w:cs="仿宋_GB2312"/>
          <w:sz w:val="24"/>
        </w:rPr>
        <w:t>“</w:t>
      </w:r>
      <w:r>
        <w:rPr>
          <w:rFonts w:hint="eastAsia" w:ascii="仿宋_GB2312" w:eastAsia="仿宋_GB2312"/>
          <w:bCs/>
          <w:sz w:val="24"/>
        </w:rPr>
        <w:t>石板河东铝土矿开采方案及生态修复方案编制项目采购文件费</w:t>
      </w:r>
      <w:r>
        <w:rPr>
          <w:rFonts w:hint="eastAsia" w:ascii="仿宋_GB2312" w:hAnsi="仿宋_GB2312" w:eastAsia="仿宋_GB2312" w:cs="仿宋_GB2312"/>
          <w:sz w:val="24"/>
        </w:rPr>
        <w:t>”，“</w:t>
      </w:r>
      <w:r>
        <w:rPr>
          <w:rFonts w:hint="eastAsia" w:ascii="仿宋_GB2312" w:eastAsia="仿宋_GB2312"/>
          <w:bCs/>
          <w:sz w:val="24"/>
        </w:rPr>
        <w:t>石板河东铝土矿开采方案及生态修复方案编制项目报价保证金</w:t>
      </w:r>
      <w:r>
        <w:rPr>
          <w:rFonts w:hint="eastAsia" w:ascii="仿宋_GB2312" w:hAnsi="仿宋_GB2312" w:eastAsia="仿宋_GB2312" w:cs="仿宋_GB2312"/>
          <w:sz w:val="24"/>
        </w:rPr>
        <w:t>”</w:t>
      </w:r>
      <w:r>
        <w:rPr>
          <w:rFonts w:hint="eastAsia" w:ascii="仿宋" w:hAnsi="仿宋" w:eastAsia="仿宋" w:cs="仿宋"/>
          <w:bCs/>
          <w:sz w:val="24"/>
          <w:lang w:val="en-US" w:eastAsia="zh-CN"/>
        </w:rPr>
        <w:t>。</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4.2 购买采购文件时间：自公告之日起至2026年9月29日20:00（北京时间）</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采购文件必须通过联系人获取，未通过联系人获取采购文件的均视为无效采购，取消其报价资格。拟报价人必须将企业营业执照（三证合一）、开户许可证、法人身份证（正反面）、文件费回执等传送至联系人后方可取得采购文件（电子版）。</w:t>
      </w:r>
    </w:p>
    <w:p>
      <w:pPr>
        <w:spacing w:line="440" w:lineRule="exact"/>
        <w:rPr>
          <w:rFonts w:hint="eastAsia" w:ascii="仿宋" w:hAnsi="仿宋" w:eastAsia="仿宋" w:cs="仿宋"/>
          <w:b/>
          <w:bCs w:val="0"/>
          <w:sz w:val="28"/>
          <w:szCs w:val="28"/>
          <w:lang w:val="en-US" w:eastAsia="zh-CN"/>
        </w:rPr>
      </w:pPr>
      <w:r>
        <w:rPr>
          <w:rFonts w:hint="eastAsia" w:ascii="仿宋" w:hAnsi="仿宋" w:eastAsia="仿宋" w:cs="仿宋"/>
          <w:b/>
          <w:bCs w:val="0"/>
          <w:sz w:val="28"/>
          <w:szCs w:val="28"/>
          <w:lang w:val="en-US" w:eastAsia="zh-CN"/>
        </w:rPr>
        <w:t>5资格审查方式</w:t>
      </w:r>
      <w:bookmarkEnd w:id="0"/>
      <w:bookmarkEnd w:id="1"/>
      <w:bookmarkEnd w:id="2"/>
      <w:bookmarkEnd w:id="3"/>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本次采购资格审查方式采用资格后审，在评审时由评审委员会对报价人进行资格审查。</w:t>
      </w:r>
    </w:p>
    <w:p>
      <w:pPr>
        <w:spacing w:line="440" w:lineRule="exact"/>
        <w:rPr>
          <w:rFonts w:hint="eastAsia" w:ascii="仿宋" w:hAnsi="仿宋" w:eastAsia="仿宋" w:cs="仿宋"/>
          <w:b/>
          <w:bCs w:val="0"/>
          <w:sz w:val="28"/>
          <w:szCs w:val="28"/>
          <w:lang w:val="en-US" w:eastAsia="zh-CN"/>
        </w:rPr>
      </w:pPr>
      <w:bookmarkStart w:id="4" w:name="_Toc3201945"/>
      <w:bookmarkStart w:id="5" w:name="_Toc518044995"/>
      <w:bookmarkStart w:id="6" w:name="_Toc517804009"/>
      <w:bookmarkStart w:id="7" w:name="_Toc9267"/>
      <w:r>
        <w:rPr>
          <w:rFonts w:hint="eastAsia" w:ascii="仿宋" w:hAnsi="仿宋" w:eastAsia="仿宋" w:cs="仿宋"/>
          <w:b/>
          <w:bCs w:val="0"/>
          <w:sz w:val="28"/>
          <w:szCs w:val="28"/>
          <w:lang w:val="en-US" w:eastAsia="zh-CN"/>
        </w:rPr>
        <w:t>6报价文件的递交</w:t>
      </w:r>
      <w:bookmarkEnd w:id="4"/>
      <w:bookmarkEnd w:id="5"/>
      <w:bookmarkEnd w:id="6"/>
      <w:bookmarkEnd w:id="7"/>
      <w:bookmarkStart w:id="14" w:name="_GoBack"/>
      <w:bookmarkEnd w:id="14"/>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6.1 报价文件递交截止时间/报价时间：2026年9月30日14：00（北京时间）。</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6.2 报价及评审地点：生产管控中心生产技术办公室矿山会议室（中州铝业办公楼西保卫部三楼）</w:t>
      </w:r>
    </w:p>
    <w:p>
      <w:pPr>
        <w:spacing w:line="440" w:lineRule="exact"/>
        <w:rPr>
          <w:rFonts w:hint="eastAsia" w:ascii="仿宋" w:hAnsi="仿宋" w:eastAsia="仿宋" w:cs="仿宋"/>
          <w:b/>
          <w:bCs w:val="0"/>
          <w:sz w:val="28"/>
          <w:szCs w:val="28"/>
          <w:lang w:val="en-US" w:eastAsia="zh-CN"/>
        </w:rPr>
      </w:pPr>
      <w:bookmarkStart w:id="8" w:name="_Toc30303"/>
      <w:r>
        <w:rPr>
          <w:rFonts w:hint="eastAsia" w:ascii="仿宋" w:hAnsi="仿宋" w:eastAsia="仿宋" w:cs="仿宋"/>
          <w:b/>
          <w:bCs w:val="0"/>
          <w:sz w:val="28"/>
          <w:szCs w:val="28"/>
          <w:lang w:val="en-US" w:eastAsia="zh-CN"/>
        </w:rPr>
        <w:t>7发布公告的媒介</w:t>
      </w:r>
      <w:bookmarkEnd w:id="8"/>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我公司仅在中铝中州铝业有限公司（https://zzly.chinalco.com.cn/）发布有关该项目的采购信息，我公司郑重提醒各报价人注意：与该项目相关采购事宜均须与我公司指定人员联系，我公司对任何转载信息及由此产生的后果均不承担任何责任。</w:t>
      </w:r>
    </w:p>
    <w:p>
      <w:pPr>
        <w:spacing w:line="440" w:lineRule="exact"/>
        <w:rPr>
          <w:rFonts w:hint="eastAsia" w:ascii="仿宋" w:hAnsi="仿宋" w:eastAsia="仿宋" w:cs="仿宋"/>
          <w:b/>
          <w:bCs w:val="0"/>
          <w:sz w:val="28"/>
          <w:szCs w:val="28"/>
          <w:lang w:val="en-US" w:eastAsia="zh-CN"/>
        </w:rPr>
      </w:pPr>
      <w:bookmarkStart w:id="9" w:name="_Toc22632"/>
      <w:bookmarkStart w:id="10" w:name="_Toc518044997"/>
      <w:bookmarkStart w:id="11" w:name="_Toc517804011"/>
      <w:bookmarkStart w:id="12" w:name="_Toc3201947"/>
      <w:r>
        <w:rPr>
          <w:rFonts w:hint="eastAsia" w:ascii="仿宋" w:hAnsi="仿宋" w:eastAsia="仿宋" w:cs="仿宋"/>
          <w:b/>
          <w:bCs w:val="0"/>
          <w:sz w:val="28"/>
          <w:szCs w:val="28"/>
          <w:lang w:val="en-US" w:eastAsia="zh-CN"/>
        </w:rPr>
        <w:t>8联系方式</w:t>
      </w:r>
      <w:bookmarkEnd w:id="9"/>
      <w:bookmarkEnd w:id="10"/>
      <w:bookmarkEnd w:id="11"/>
      <w:bookmarkEnd w:id="12"/>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采购人：中铝中州铝业有限公司生产管控中心</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地  址：河南省修武县七贤镇中铝中州铝业有限公司</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联系人：王</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电  话：0391-3505375        15544395273（加此微信获取采购文件）</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电子邮箱：3245396774@qq.com</w:t>
      </w:r>
    </w:p>
    <w:p>
      <w:pPr>
        <w:spacing w:line="440" w:lineRule="exact"/>
        <w:rPr>
          <w:rFonts w:hint="eastAsia" w:ascii="仿宋" w:hAnsi="仿宋" w:eastAsia="仿宋" w:cs="仿宋"/>
          <w:b/>
          <w:bCs w:val="0"/>
          <w:sz w:val="28"/>
          <w:szCs w:val="28"/>
          <w:lang w:val="en-US" w:eastAsia="zh-CN"/>
        </w:rPr>
      </w:pPr>
      <w:bookmarkStart w:id="13" w:name="_Toc32084"/>
      <w:r>
        <w:rPr>
          <w:rFonts w:hint="eastAsia" w:ascii="仿宋" w:hAnsi="仿宋" w:eastAsia="仿宋" w:cs="仿宋"/>
          <w:b/>
          <w:bCs w:val="0"/>
          <w:sz w:val="28"/>
          <w:szCs w:val="28"/>
          <w:lang w:val="en-US" w:eastAsia="zh-CN"/>
        </w:rPr>
        <w:t>9购买采购文件款请按如下地址汇款</w:t>
      </w:r>
      <w:bookmarkEnd w:id="13"/>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汇款信息如下（必须是公对公汇款）：</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开户名称：中铝中州矿业有限公司</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开户行：中国银行焦作山阳支行</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default" w:ascii="仿宋" w:hAnsi="仿宋" w:eastAsia="仿宋" w:cs="仿宋"/>
          <w:bCs/>
          <w:sz w:val="24"/>
          <w:lang w:val="en-US" w:eastAsia="zh-CN"/>
        </w:rPr>
      </w:pPr>
      <w:r>
        <w:rPr>
          <w:rFonts w:hint="eastAsia" w:ascii="仿宋" w:hAnsi="仿宋" w:eastAsia="仿宋" w:cs="仿宋"/>
          <w:bCs/>
          <w:sz w:val="24"/>
          <w:lang w:val="en-US" w:eastAsia="zh-CN"/>
        </w:rPr>
        <w:t>银行账号：259865455392</w:t>
      </w:r>
    </w:p>
    <w:p>
      <w:pPr>
        <w:spacing w:line="440" w:lineRule="exact"/>
        <w:rPr>
          <w:rFonts w:hint="eastAsia" w:ascii="仿宋" w:hAnsi="仿宋" w:eastAsia="仿宋" w:cs="仿宋"/>
          <w:b/>
          <w:bCs w:val="0"/>
          <w:sz w:val="28"/>
          <w:szCs w:val="28"/>
          <w:lang w:val="en-US" w:eastAsia="zh-CN"/>
        </w:rPr>
      </w:pPr>
      <w:r>
        <w:rPr>
          <w:rFonts w:hint="eastAsia" w:ascii="仿宋" w:hAnsi="仿宋" w:eastAsia="仿宋" w:cs="仿宋"/>
          <w:b/>
          <w:bCs w:val="0"/>
          <w:sz w:val="28"/>
          <w:szCs w:val="28"/>
          <w:lang w:val="en-US" w:eastAsia="zh-CN"/>
        </w:rPr>
        <w:t>10监督部门：</w:t>
      </w:r>
      <w:r>
        <w:rPr>
          <w:rFonts w:hint="eastAsia" w:ascii="仿宋" w:hAnsi="仿宋" w:eastAsia="仿宋" w:cs="仿宋"/>
          <w:bCs/>
          <w:sz w:val="24"/>
          <w:lang w:val="en-US" w:eastAsia="zh-CN"/>
        </w:rPr>
        <w:t>投诉举报部门</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中铝中州铝业有限公司：0391-3503580</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中国铝业股份有限公司：010-82298446</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中国铝业集团有限公司：010-82298683</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邮箱：zzlyjw02@126.com</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Q0MjIyMzMyMTlkNDAxNTY2NmYwY2YyZjk4N2FhNDQifQ=="/>
  </w:docVars>
  <w:rsids>
    <w:rsidRoot w:val="00000000"/>
    <w:rsid w:val="00155351"/>
    <w:rsid w:val="00BA7CA7"/>
    <w:rsid w:val="027A3611"/>
    <w:rsid w:val="02F063CD"/>
    <w:rsid w:val="031C6264"/>
    <w:rsid w:val="037B371D"/>
    <w:rsid w:val="037D6B45"/>
    <w:rsid w:val="0393643C"/>
    <w:rsid w:val="03AA4003"/>
    <w:rsid w:val="04483FA6"/>
    <w:rsid w:val="044E0E32"/>
    <w:rsid w:val="04C4495A"/>
    <w:rsid w:val="05880374"/>
    <w:rsid w:val="05B7748E"/>
    <w:rsid w:val="05C532C6"/>
    <w:rsid w:val="065E79C1"/>
    <w:rsid w:val="06973E80"/>
    <w:rsid w:val="06EC048E"/>
    <w:rsid w:val="08164F8D"/>
    <w:rsid w:val="09027D76"/>
    <w:rsid w:val="0AA27488"/>
    <w:rsid w:val="0B094A63"/>
    <w:rsid w:val="0B2F3A13"/>
    <w:rsid w:val="0C880C59"/>
    <w:rsid w:val="0C9475FE"/>
    <w:rsid w:val="0D7F205C"/>
    <w:rsid w:val="0DF40C53"/>
    <w:rsid w:val="0E1F739B"/>
    <w:rsid w:val="0EEC1B28"/>
    <w:rsid w:val="0F3D3D81"/>
    <w:rsid w:val="0FD069AE"/>
    <w:rsid w:val="10D73F5D"/>
    <w:rsid w:val="11C10E95"/>
    <w:rsid w:val="11DC7A7D"/>
    <w:rsid w:val="122D02D9"/>
    <w:rsid w:val="12451511"/>
    <w:rsid w:val="12FB03D7"/>
    <w:rsid w:val="132C0802"/>
    <w:rsid w:val="13F63820"/>
    <w:rsid w:val="142859FB"/>
    <w:rsid w:val="144E2788"/>
    <w:rsid w:val="1464310E"/>
    <w:rsid w:val="14C667C2"/>
    <w:rsid w:val="163065E9"/>
    <w:rsid w:val="165B2217"/>
    <w:rsid w:val="16677B31"/>
    <w:rsid w:val="16D43419"/>
    <w:rsid w:val="171B1048"/>
    <w:rsid w:val="17EC6540"/>
    <w:rsid w:val="190C7CE1"/>
    <w:rsid w:val="19D11E91"/>
    <w:rsid w:val="1AC92B69"/>
    <w:rsid w:val="1B2D3AE4"/>
    <w:rsid w:val="1CCC4B92"/>
    <w:rsid w:val="1D623594"/>
    <w:rsid w:val="20B53F66"/>
    <w:rsid w:val="20D0142F"/>
    <w:rsid w:val="21AA7866"/>
    <w:rsid w:val="21AF0D0A"/>
    <w:rsid w:val="22845119"/>
    <w:rsid w:val="23720241"/>
    <w:rsid w:val="24A563F4"/>
    <w:rsid w:val="24B13AD7"/>
    <w:rsid w:val="28547E75"/>
    <w:rsid w:val="28A714A1"/>
    <w:rsid w:val="292A2F83"/>
    <w:rsid w:val="29600B3C"/>
    <w:rsid w:val="29602F6C"/>
    <w:rsid w:val="297840D8"/>
    <w:rsid w:val="2A3C3357"/>
    <w:rsid w:val="2C0B7693"/>
    <w:rsid w:val="2C43774A"/>
    <w:rsid w:val="2D1D4C6D"/>
    <w:rsid w:val="2D67693D"/>
    <w:rsid w:val="2DEC690F"/>
    <w:rsid w:val="2EDD7488"/>
    <w:rsid w:val="2EDE29FD"/>
    <w:rsid w:val="30E958BB"/>
    <w:rsid w:val="318B05EC"/>
    <w:rsid w:val="31B86A3F"/>
    <w:rsid w:val="31D8306E"/>
    <w:rsid w:val="32285F6F"/>
    <w:rsid w:val="339064C2"/>
    <w:rsid w:val="33BC290D"/>
    <w:rsid w:val="346902C6"/>
    <w:rsid w:val="34E40FCA"/>
    <w:rsid w:val="35102E7B"/>
    <w:rsid w:val="351729F7"/>
    <w:rsid w:val="35C76459"/>
    <w:rsid w:val="377636F0"/>
    <w:rsid w:val="37C07F75"/>
    <w:rsid w:val="38F4304F"/>
    <w:rsid w:val="38F73281"/>
    <w:rsid w:val="3AAC3BE1"/>
    <w:rsid w:val="3AE96BE3"/>
    <w:rsid w:val="3C3E6CFB"/>
    <w:rsid w:val="3C6A5B02"/>
    <w:rsid w:val="3E0E49C6"/>
    <w:rsid w:val="3EBE79F3"/>
    <w:rsid w:val="3ED2731A"/>
    <w:rsid w:val="3FC30CA2"/>
    <w:rsid w:val="3FE43E1D"/>
    <w:rsid w:val="401A783F"/>
    <w:rsid w:val="406805AA"/>
    <w:rsid w:val="411C2913"/>
    <w:rsid w:val="4307657D"/>
    <w:rsid w:val="43E02B4D"/>
    <w:rsid w:val="44590819"/>
    <w:rsid w:val="446724B7"/>
    <w:rsid w:val="45476DEF"/>
    <w:rsid w:val="45C368D4"/>
    <w:rsid w:val="464E0242"/>
    <w:rsid w:val="465B295F"/>
    <w:rsid w:val="46CE4098"/>
    <w:rsid w:val="490F1FF3"/>
    <w:rsid w:val="49695393"/>
    <w:rsid w:val="497955D6"/>
    <w:rsid w:val="49C643CF"/>
    <w:rsid w:val="49E07403"/>
    <w:rsid w:val="4B4843E2"/>
    <w:rsid w:val="4C27758A"/>
    <w:rsid w:val="4CA57490"/>
    <w:rsid w:val="4CFD651E"/>
    <w:rsid w:val="4E4572F4"/>
    <w:rsid w:val="4EDB288F"/>
    <w:rsid w:val="51735001"/>
    <w:rsid w:val="523C1897"/>
    <w:rsid w:val="52F23C05"/>
    <w:rsid w:val="52F83A10"/>
    <w:rsid w:val="538C00C5"/>
    <w:rsid w:val="550A42E0"/>
    <w:rsid w:val="56140091"/>
    <w:rsid w:val="5716224D"/>
    <w:rsid w:val="571748E3"/>
    <w:rsid w:val="581D594B"/>
    <w:rsid w:val="59395101"/>
    <w:rsid w:val="5AFD146D"/>
    <w:rsid w:val="5B5434A8"/>
    <w:rsid w:val="5B5E287E"/>
    <w:rsid w:val="5BF154A0"/>
    <w:rsid w:val="5C031BC4"/>
    <w:rsid w:val="5C0F4FE4"/>
    <w:rsid w:val="5D6F11AF"/>
    <w:rsid w:val="5DA3376E"/>
    <w:rsid w:val="5E863CA9"/>
    <w:rsid w:val="5EC155FD"/>
    <w:rsid w:val="5F7F56ED"/>
    <w:rsid w:val="603248F4"/>
    <w:rsid w:val="60662791"/>
    <w:rsid w:val="62272952"/>
    <w:rsid w:val="62DF10A6"/>
    <w:rsid w:val="63875FB1"/>
    <w:rsid w:val="64D50E4D"/>
    <w:rsid w:val="651E6BDA"/>
    <w:rsid w:val="652D5C58"/>
    <w:rsid w:val="65D0673C"/>
    <w:rsid w:val="662D3262"/>
    <w:rsid w:val="66636F9A"/>
    <w:rsid w:val="66CD3A0C"/>
    <w:rsid w:val="67916D24"/>
    <w:rsid w:val="68103152"/>
    <w:rsid w:val="68554ED4"/>
    <w:rsid w:val="69856C60"/>
    <w:rsid w:val="6A627023"/>
    <w:rsid w:val="6B3E73F7"/>
    <w:rsid w:val="6BAD0EBB"/>
    <w:rsid w:val="6C092392"/>
    <w:rsid w:val="6C4D6722"/>
    <w:rsid w:val="6CC43549"/>
    <w:rsid w:val="6D0D7C60"/>
    <w:rsid w:val="6D8242FF"/>
    <w:rsid w:val="6E9F6FDD"/>
    <w:rsid w:val="6EA07640"/>
    <w:rsid w:val="6EC711C7"/>
    <w:rsid w:val="6EFB29F9"/>
    <w:rsid w:val="6F060E0B"/>
    <w:rsid w:val="6F273B31"/>
    <w:rsid w:val="707814EF"/>
    <w:rsid w:val="70AD26B9"/>
    <w:rsid w:val="71E52089"/>
    <w:rsid w:val="71ED7056"/>
    <w:rsid w:val="72543333"/>
    <w:rsid w:val="728F1117"/>
    <w:rsid w:val="732C01D1"/>
    <w:rsid w:val="73DD17AE"/>
    <w:rsid w:val="73E01C41"/>
    <w:rsid w:val="740578E3"/>
    <w:rsid w:val="74624D35"/>
    <w:rsid w:val="75181898"/>
    <w:rsid w:val="7568697B"/>
    <w:rsid w:val="7723759C"/>
    <w:rsid w:val="77720653"/>
    <w:rsid w:val="77E572A5"/>
    <w:rsid w:val="77F55EC0"/>
    <w:rsid w:val="780D4FB8"/>
    <w:rsid w:val="78355FAD"/>
    <w:rsid w:val="79246A5D"/>
    <w:rsid w:val="7A22256E"/>
    <w:rsid w:val="7A2A7DCB"/>
    <w:rsid w:val="7B564EC8"/>
    <w:rsid w:val="7B747B10"/>
    <w:rsid w:val="7B9A4DB4"/>
    <w:rsid w:val="7D5B2A16"/>
    <w:rsid w:val="7F062761"/>
    <w:rsid w:val="7F0B2B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7">
    <w:name w:val="heading 1"/>
    <w:basedOn w:val="1"/>
    <w:next w:val="1"/>
    <w:qFormat/>
    <w:uiPriority w:val="9"/>
    <w:pPr>
      <w:keepNext/>
      <w:keepLines/>
      <w:spacing w:line="360" w:lineRule="auto"/>
      <w:jc w:val="center"/>
      <w:outlineLvl w:val="0"/>
    </w:pPr>
    <w:rPr>
      <w:rFonts w:ascii="黑体" w:hAnsi="宋体" w:eastAsia="黑体"/>
      <w:kern w:val="44"/>
      <w:sz w:val="30"/>
      <w:szCs w:val="44"/>
    </w:rPr>
  </w:style>
  <w:style w:type="paragraph" w:styleId="8">
    <w:name w:val="heading 2"/>
    <w:basedOn w:val="1"/>
    <w:next w:val="1"/>
    <w:qFormat/>
    <w:uiPriority w:val="0"/>
    <w:pPr>
      <w:keepNext/>
      <w:keepLines/>
      <w:tabs>
        <w:tab w:val="left" w:pos="0"/>
      </w:tabs>
      <w:suppressAutoHyphens/>
      <w:spacing w:before="260" w:after="260" w:line="408" w:lineRule="auto"/>
      <w:ind w:left="576" w:hanging="576"/>
      <w:outlineLvl w:val="1"/>
    </w:pPr>
    <w:rPr>
      <w:rFonts w:ascii="Arial" w:hAnsi="Arial" w:eastAsia="黑体"/>
      <w:b/>
      <w:bCs/>
      <w:sz w:val="32"/>
      <w:szCs w:val="32"/>
      <w:lang w:eastAsia="ar-SA"/>
    </w:rPr>
  </w:style>
  <w:style w:type="character" w:default="1" w:styleId="13">
    <w:name w:val="Default Paragraph Font"/>
    <w:semiHidden/>
    <w:qFormat/>
    <w:uiPriority w:val="0"/>
  </w:style>
  <w:style w:type="table" w:default="1" w:styleId="12">
    <w:name w:val="Normal Table"/>
    <w:semiHidden/>
    <w:qFormat/>
    <w:uiPriority w:val="0"/>
    <w:tblPr>
      <w:tblLayout w:type="fixed"/>
      <w:tblCellMar>
        <w:top w:w="0" w:type="dxa"/>
        <w:left w:w="108" w:type="dxa"/>
        <w:bottom w:w="0" w:type="dxa"/>
        <w:right w:w="108" w:type="dxa"/>
      </w:tblCellMar>
    </w:tblPr>
  </w:style>
  <w:style w:type="paragraph" w:styleId="2">
    <w:name w:val="Body Text First Indent"/>
    <w:basedOn w:val="3"/>
    <w:next w:val="4"/>
    <w:qFormat/>
    <w:uiPriority w:val="0"/>
    <w:pPr>
      <w:widowControl w:val="0"/>
      <w:spacing w:after="120"/>
      <w:ind w:firstLine="420" w:firstLineChars="100"/>
      <w:jc w:val="both"/>
    </w:pPr>
    <w:rPr>
      <w:kern w:val="2"/>
      <w:sz w:val="21"/>
      <w:szCs w:val="24"/>
      <w:lang w:val="en-US" w:eastAsia="zh-CN" w:bidi="ar-SA"/>
    </w:rPr>
  </w:style>
  <w:style w:type="paragraph" w:styleId="3">
    <w:name w:val="Body Text"/>
    <w:basedOn w:val="1"/>
    <w:next w:val="1"/>
    <w:qFormat/>
    <w:uiPriority w:val="0"/>
    <w:pPr>
      <w:spacing w:after="120"/>
    </w:pPr>
  </w:style>
  <w:style w:type="paragraph" w:styleId="4">
    <w:name w:val="Body Text First Indent 2"/>
    <w:basedOn w:val="5"/>
    <w:next w:val="2"/>
    <w:unhideWhenUsed/>
    <w:qFormat/>
    <w:uiPriority w:val="99"/>
    <w:pPr>
      <w:spacing w:before="100" w:beforeAutospacing="1"/>
      <w:ind w:left="200" w:firstLine="420"/>
    </w:pPr>
  </w:style>
  <w:style w:type="paragraph" w:styleId="5">
    <w:name w:val="Body Text Indent"/>
    <w:basedOn w:val="1"/>
    <w:next w:val="6"/>
    <w:qFormat/>
    <w:uiPriority w:val="0"/>
    <w:pPr>
      <w:widowControl/>
      <w:spacing w:after="120" w:afterAutospacing="0"/>
      <w:ind w:left="420" w:leftChars="200"/>
      <w:jc w:val="left"/>
    </w:pPr>
    <w:rPr>
      <w:kern w:val="0"/>
      <w:sz w:val="20"/>
      <w:szCs w:val="20"/>
      <w:lang w:val="en-GB" w:eastAsia="en-US"/>
    </w:rPr>
  </w:style>
  <w:style w:type="paragraph" w:styleId="6">
    <w:name w:val="Normal Indent"/>
    <w:basedOn w:val="1"/>
    <w:qFormat/>
    <w:uiPriority w:val="0"/>
    <w:pPr>
      <w:spacing w:line="360" w:lineRule="auto"/>
      <w:ind w:firstLine="200" w:firstLineChars="200"/>
    </w:pPr>
    <w:rPr>
      <w:rFonts w:ascii="宋体" w:hAnsi="宋体"/>
      <w:sz w:val="24"/>
      <w:szCs w:val="20"/>
    </w:rPr>
  </w:style>
  <w:style w:type="paragraph" w:styleId="9">
    <w:name w:val="index 8"/>
    <w:basedOn w:val="1"/>
    <w:next w:val="1"/>
    <w:qFormat/>
    <w:uiPriority w:val="0"/>
    <w:pPr>
      <w:ind w:left="0" w:firstLine="800" w:firstLineChars="200"/>
    </w:pPr>
    <w:rPr>
      <w:rFonts w:ascii="Calibri" w:hAnsi="Calibri" w:eastAsia="仿宋_GB2312" w:cs="Times New Roman"/>
      <w:sz w:val="32"/>
    </w:rPr>
  </w:style>
  <w:style w:type="paragraph" w:styleId="10">
    <w:name w:val="annotation text"/>
    <w:basedOn w:val="1"/>
    <w:qFormat/>
    <w:uiPriority w:val="0"/>
    <w:pPr>
      <w:jc w:val="left"/>
    </w:pPr>
    <w:rPr>
      <w:rFonts w:ascii="Calibri" w:hAnsi="Calibri" w:eastAsia="宋体" w:cs="Times New Roman"/>
    </w:rPr>
  </w:style>
  <w:style w:type="paragraph" w:styleId="11">
    <w:name w:val="Body Text 2"/>
    <w:basedOn w:val="1"/>
    <w:next w:val="3"/>
    <w:qFormat/>
    <w:uiPriority w:val="0"/>
    <w:pPr>
      <w:spacing w:after="120" w:line="480" w:lineRule="auto"/>
    </w:pPr>
  </w:style>
  <w:style w:type="character" w:customStyle="1" w:styleId="14">
    <w:name w:val="font12"/>
    <w:basedOn w:val="13"/>
    <w:qFormat/>
    <w:uiPriority w:val="0"/>
    <w:rPr>
      <w:rFonts w:hint="eastAsia" w:ascii="仿宋" w:hAnsi="仿宋" w:eastAsia="仿宋" w:cs="仿宋"/>
      <w:b/>
      <w:bCs/>
      <w:color w:val="000000"/>
      <w:sz w:val="24"/>
      <w:szCs w:val="24"/>
      <w:u w:val="none"/>
    </w:rPr>
  </w:style>
  <w:style w:type="character" w:customStyle="1" w:styleId="15">
    <w:name w:val="font111"/>
    <w:basedOn w:val="13"/>
    <w:qFormat/>
    <w:uiPriority w:val="0"/>
    <w:rPr>
      <w:rFonts w:hint="eastAsia" w:ascii="宋体" w:hAnsi="宋体" w:eastAsia="宋体" w:cs="宋体"/>
      <w:color w:val="000000"/>
      <w:sz w:val="22"/>
      <w:szCs w:val="22"/>
      <w:u w:val="none"/>
    </w:rPr>
  </w:style>
  <w:style w:type="character" w:customStyle="1" w:styleId="16">
    <w:name w:val="font122"/>
    <w:basedOn w:val="13"/>
    <w:qFormat/>
    <w:uiPriority w:val="0"/>
    <w:rPr>
      <w:rFonts w:hint="eastAsia" w:ascii="仿宋" w:hAnsi="仿宋" w:eastAsia="仿宋" w:cs="仿宋"/>
      <w:color w:val="000000"/>
      <w:sz w:val="24"/>
      <w:szCs w:val="24"/>
      <w:u w:val="none"/>
    </w:rPr>
  </w:style>
  <w:style w:type="character" w:customStyle="1" w:styleId="17">
    <w:name w:val="font221"/>
    <w:basedOn w:val="13"/>
    <w:qFormat/>
    <w:uiPriority w:val="0"/>
    <w:rPr>
      <w:rFonts w:hint="eastAsia" w:ascii="仿宋" w:hAnsi="仿宋" w:eastAsia="仿宋" w:cs="仿宋"/>
      <w:color w:val="000000"/>
      <w:sz w:val="20"/>
      <w:szCs w:val="20"/>
      <w:u w:val="none"/>
      <w:vertAlign w:val="subscript"/>
    </w:rPr>
  </w:style>
  <w:style w:type="paragraph" w:customStyle="1" w:styleId="18">
    <w:name w:val="列出段落1"/>
    <w:basedOn w:val="1"/>
    <w:qFormat/>
    <w:uiPriority w:val="0"/>
    <w:pPr>
      <w:ind w:firstLine="420" w:firstLineChars="200"/>
    </w:pPr>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1997</Words>
  <Characters>2333</Characters>
  <Lines>0</Lines>
  <Paragraphs>0</Paragraphs>
  <TotalTime>2</TotalTime>
  <ScaleCrop>false</ScaleCrop>
  <LinksUpToDate>false</LinksUpToDate>
  <CharactersWithSpaces>2365</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2023-06-16T02:53:00Z</dcterms:created>
  <dc:creator>Administrator</dc:creator>
  <cp:lastModifiedBy>Administrator</cp:lastModifiedBy>
  <dcterms:modified xsi:type="dcterms:W3CDTF">2026-09-24T08:14:59Z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ICV">
    <vt:lpwstr>E2998739EB744DF798B4578CEF13DF38_13</vt:lpwstr>
  </property>
</Properties>
</file>