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288" w:lineRule="auto"/>
        <w:jc w:val="center"/>
        <w:textAlignment w:val="baseline"/>
        <w:rPr>
          <w:rFonts w:hint="eastAsia" w:ascii="黑体" w:hAnsi="黑体" w:eastAsia="黑体" w:cs="黑体"/>
          <w:bCs/>
          <w:sz w:val="36"/>
          <w:szCs w:val="36"/>
          <w:lang w:eastAsia="zh-CN"/>
        </w:rPr>
      </w:pPr>
      <w:r>
        <w:rPr>
          <w:rFonts w:hint="eastAsia" w:ascii="黑体" w:hAnsi="黑体" w:eastAsia="黑体" w:cs="黑体"/>
          <w:bCs/>
          <w:sz w:val="36"/>
          <w:szCs w:val="36"/>
          <w:lang w:eastAsia="zh-CN"/>
        </w:rPr>
        <w:t>中铝中州铝业有限公司冯营石灰石矿202</w:t>
      </w:r>
      <w:r>
        <w:rPr>
          <w:rFonts w:hint="eastAsia" w:ascii="黑体" w:hAnsi="黑体" w:eastAsia="黑体" w:cs="黑体"/>
          <w:bCs/>
          <w:sz w:val="36"/>
          <w:szCs w:val="36"/>
          <w:lang w:val="en-US" w:eastAsia="zh-CN"/>
        </w:rPr>
        <w:t>6</w:t>
      </w:r>
      <w:r>
        <w:rPr>
          <w:rFonts w:hint="eastAsia" w:ascii="黑体" w:hAnsi="黑体" w:eastAsia="黑体" w:cs="黑体"/>
          <w:bCs/>
          <w:sz w:val="36"/>
          <w:szCs w:val="36"/>
          <w:lang w:eastAsia="zh-CN"/>
        </w:rPr>
        <w:t>年度储量动</w:t>
      </w:r>
      <w:r>
        <w:rPr>
          <w:rFonts w:hint="eastAsia" w:ascii="黑体" w:hAnsi="黑体" w:eastAsia="黑体" w:cs="黑体"/>
          <w:bCs/>
          <w:sz w:val="36"/>
          <w:szCs w:val="36"/>
          <w:lang w:eastAsia="zh-CN"/>
        </w:rPr>
        <w:t>态</w:t>
      </w:r>
      <w:r>
        <w:rPr>
          <w:rFonts w:hint="eastAsia" w:ascii="黑体" w:hAnsi="黑体" w:eastAsia="黑体" w:cs="黑体"/>
          <w:bCs/>
          <w:sz w:val="36"/>
          <w:szCs w:val="36"/>
          <w:lang w:eastAsia="zh-CN"/>
        </w:rPr>
        <w:t>核查</w:t>
      </w:r>
      <w:r>
        <w:rPr>
          <w:rFonts w:hint="eastAsia" w:ascii="黑体" w:hAnsi="黑体" w:eastAsia="黑体" w:cs="黑体"/>
          <w:bCs/>
          <w:sz w:val="36"/>
          <w:szCs w:val="36"/>
          <w:lang w:eastAsia="zh-CN"/>
        </w:rPr>
        <w:t>及</w:t>
      </w:r>
      <w:r>
        <w:rPr>
          <w:rFonts w:hint="eastAsia" w:ascii="黑体" w:hAnsi="黑体" w:eastAsia="黑体" w:cs="黑体"/>
          <w:bCs/>
          <w:sz w:val="36"/>
          <w:szCs w:val="36"/>
          <w:lang w:eastAsia="zh-CN"/>
        </w:rPr>
        <w:t>是否超越批准范围</w:t>
      </w:r>
      <w:r>
        <w:rPr>
          <w:rFonts w:hint="eastAsia" w:ascii="黑体" w:hAnsi="黑体" w:eastAsia="黑体" w:cs="黑体"/>
          <w:bCs/>
          <w:sz w:val="36"/>
          <w:szCs w:val="36"/>
          <w:lang w:eastAsia="zh-CN"/>
        </w:rPr>
        <w:t>采</w:t>
      </w:r>
      <w:r>
        <w:rPr>
          <w:rFonts w:hint="eastAsia" w:ascii="黑体" w:hAnsi="黑体" w:eastAsia="黑体" w:cs="黑体"/>
          <w:bCs/>
          <w:sz w:val="36"/>
          <w:szCs w:val="36"/>
          <w:lang w:eastAsia="zh-CN"/>
        </w:rPr>
        <w:t>矿监测项目</w:t>
      </w:r>
      <w:r>
        <w:rPr>
          <w:rFonts w:hint="eastAsia" w:ascii="黑体" w:hAnsi="黑体" w:eastAsia="黑体" w:cs="黑体"/>
          <w:bCs/>
          <w:sz w:val="36"/>
          <w:szCs w:val="36"/>
          <w:lang w:eastAsia="zh-CN"/>
        </w:rPr>
        <w:t>采购公告</w:t>
      </w:r>
    </w:p>
    <w:p>
      <w:pPr>
        <w:snapToGrid w:val="0"/>
        <w:spacing w:before="156" w:after="156" w:line="360" w:lineRule="auto"/>
        <w:jc w:val="center"/>
        <w:textAlignment w:val="baseline"/>
        <w:rPr>
          <w:rFonts w:hint="default" w:ascii="黑体" w:hAnsi="黑体" w:eastAsia="黑体" w:cs="黑体"/>
          <w:bCs/>
          <w:sz w:val="36"/>
          <w:szCs w:val="36"/>
          <w:lang w:val="en-US" w:eastAsia="zh-CN"/>
        </w:rPr>
      </w:pPr>
      <w:r>
        <w:rPr>
          <w:rFonts w:hint="eastAsia" w:ascii="黑体" w:hAnsi="黑体" w:eastAsia="黑体" w:cs="黑体"/>
          <w:bCs/>
          <w:sz w:val="36"/>
          <w:szCs w:val="36"/>
          <w:lang w:eastAsia="zh-CN"/>
        </w:rPr>
        <w:t>采购编号：</w:t>
      </w:r>
      <w:r>
        <w:rPr>
          <w:rFonts w:hint="eastAsia" w:ascii="黑体" w:hAnsi="黑体" w:eastAsia="黑体" w:cs="黑体"/>
          <w:bCs/>
          <w:sz w:val="36"/>
          <w:szCs w:val="36"/>
          <w:lang w:val="en-US" w:eastAsia="zh-CN"/>
        </w:rPr>
        <w:t>CG-ZZ-202611-SCGK-SCJSK-001</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1采购条件</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_GB2312" w:eastAsia="仿宋_GB2312" w:cs="Times New Roman"/>
          <w:bCs/>
          <w:sz w:val="24"/>
          <w:lang w:eastAsia="zh-CN"/>
        </w:rPr>
        <w:t>中铝中州铝业有限公司冯营石灰石矿2026年度储量动态核查及是否超越批准范围采矿监测项目</w:t>
      </w:r>
      <w:r>
        <w:rPr>
          <w:rFonts w:hint="eastAsia" w:ascii="仿宋" w:hAnsi="仿宋" w:eastAsia="仿宋" w:cs="仿宋"/>
          <w:bCs/>
          <w:sz w:val="24"/>
          <w:lang w:val="en-US" w:eastAsia="zh-CN"/>
        </w:rPr>
        <w:t>已具备采购条件，资金自筹且已落实。采购人为：中铝中州铝业有限公司生产管控中心。采购人对该项目进行竞价采购，报价方式为现场报价。</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2项目概况及采购范围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2.1项目名称：</w:t>
      </w:r>
      <w:r>
        <w:rPr>
          <w:rFonts w:hint="eastAsia" w:ascii="仿宋_GB2312" w:eastAsia="仿宋_GB2312" w:cs="Times New Roman"/>
          <w:bCs/>
          <w:sz w:val="24"/>
          <w:lang w:eastAsia="zh-CN"/>
        </w:rPr>
        <w:t>中铝中州铝业有限公司冯营石灰石矿2026年度储量动态核查及是否超越批准范围采矿监测项目</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2.2项目类型：技术服务</w:t>
      </w:r>
    </w:p>
    <w:p>
      <w:pPr>
        <w:snapToGrid w:val="0"/>
        <w:spacing w:line="400" w:lineRule="exact"/>
        <w:ind w:firstLine="480" w:firstLineChars="200"/>
        <w:textAlignment w:val="baseline"/>
        <w:rPr>
          <w:rFonts w:hint="eastAsia" w:ascii="仿宋_GB2312" w:eastAsia="仿宋_GB2312"/>
          <w:bCs/>
          <w:color w:val="000000"/>
          <w:sz w:val="24"/>
          <w:highlight w:val="none"/>
        </w:rPr>
      </w:pPr>
      <w:r>
        <w:rPr>
          <w:rFonts w:hint="eastAsia" w:ascii="仿宋" w:hAnsi="仿宋" w:eastAsia="仿宋" w:cs="仿宋"/>
          <w:bCs/>
          <w:sz w:val="24"/>
          <w:lang w:val="en-US" w:eastAsia="zh-CN"/>
        </w:rPr>
        <w:t>2.3项目概况：</w:t>
      </w:r>
      <w:r>
        <w:rPr>
          <w:rFonts w:hint="eastAsia" w:ascii="仿宋_GB2312" w:eastAsia="仿宋_GB2312"/>
          <w:bCs/>
          <w:color w:val="000000"/>
          <w:sz w:val="24"/>
          <w:highlight w:val="none"/>
        </w:rPr>
        <w:t>中铝中州铝业有限公司冯营石灰石矿区位于焦作市马村区安阳城街道办事处和修武县七贤镇。矿区总面积1.45平方公里，矿区划分为a、b、c、d四个采区，a采区是现在唯一的生产采区，生产规模为100万吨/年，开采矿种为熔剂用石灰岩，开采方式为露天开采。</w:t>
      </w:r>
    </w:p>
    <w:p>
      <w:pPr>
        <w:spacing w:line="440" w:lineRule="exact"/>
        <w:ind w:firstLine="480"/>
        <w:rPr>
          <w:rFonts w:hint="eastAsia" w:ascii="仿宋_GB2312" w:eastAsia="仿宋_GB2312"/>
          <w:bCs/>
          <w:sz w:val="24"/>
          <w:lang w:val="en-US" w:eastAsia="zh-CN"/>
        </w:rPr>
      </w:pPr>
      <w:r>
        <w:rPr>
          <w:rFonts w:hint="eastAsia" w:ascii="仿宋_GB2312" w:eastAsia="仿宋_GB2312"/>
          <w:bCs/>
          <w:color w:val="000000"/>
          <w:sz w:val="24"/>
          <w:highlight w:val="none"/>
        </w:rPr>
        <w:t>为进一步规范矿山生产开采活动，促进矿山企业保护和合理开发利用资源，按照相关要求，由马村区各矿山企业自行委托具备相应资质及业务能力的第三方技术单位，对其202</w:t>
      </w:r>
      <w:r>
        <w:rPr>
          <w:rFonts w:hint="eastAsia" w:ascii="仿宋_GB2312" w:eastAsia="仿宋_GB2312"/>
          <w:bCs/>
          <w:color w:val="000000"/>
          <w:sz w:val="24"/>
          <w:highlight w:val="none"/>
          <w:lang w:val="en-US" w:eastAsia="zh-CN"/>
        </w:rPr>
        <w:t>6</w:t>
      </w:r>
      <w:r>
        <w:rPr>
          <w:rFonts w:hint="eastAsia" w:ascii="仿宋_GB2312" w:eastAsia="仿宋_GB2312"/>
          <w:bCs/>
          <w:color w:val="000000"/>
          <w:sz w:val="24"/>
          <w:highlight w:val="none"/>
        </w:rPr>
        <w:t>年度矿山资源储量动态监测执行情况以及是否超越批准范围采矿等开展核查监测，提交矿山企业202</w:t>
      </w:r>
      <w:r>
        <w:rPr>
          <w:rFonts w:hint="eastAsia" w:ascii="仿宋_GB2312" w:eastAsia="仿宋_GB2312"/>
          <w:bCs/>
          <w:color w:val="000000"/>
          <w:sz w:val="24"/>
          <w:highlight w:val="none"/>
          <w:lang w:val="en-US" w:eastAsia="zh-CN"/>
        </w:rPr>
        <w:t>6</w:t>
      </w:r>
      <w:r>
        <w:rPr>
          <w:rFonts w:hint="eastAsia" w:ascii="仿宋_GB2312" w:eastAsia="仿宋_GB2312"/>
          <w:bCs/>
          <w:color w:val="000000"/>
          <w:sz w:val="24"/>
          <w:highlight w:val="none"/>
        </w:rPr>
        <w:t>年度储量动检核查及是否超越批准范围采矿监测报告及相关资料</w:t>
      </w:r>
      <w:r>
        <w:rPr>
          <w:rFonts w:hint="eastAsia" w:ascii="仿宋_GB2312" w:eastAsia="仿宋_GB2312"/>
          <w:bCs/>
          <w:sz w:val="24"/>
          <w:lang w:val="en-US"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2.4项目地点：</w:t>
      </w:r>
      <w:r>
        <w:rPr>
          <w:rFonts w:hint="eastAsia" w:ascii="仿宋" w:hAnsi="仿宋" w:eastAsia="仿宋" w:cs="仿宋"/>
          <w:sz w:val="24"/>
          <w:lang w:val="en-US" w:eastAsia="zh-CN"/>
        </w:rPr>
        <w:t>焦作市安阳城乡马冯营村北</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2.5主要工作内容及质量标准要求：</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2.5.1主要内容：</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_GB2312" w:hAnsi="仿宋_GB2312" w:eastAsia="仿宋_GB2312" w:cs="仿宋_GB2312"/>
          <w:sz w:val="24"/>
          <w:szCs w:val="24"/>
          <w:highlight w:val="none"/>
          <w:lang w:val="en-US" w:eastAsia="zh-CN"/>
        </w:rPr>
        <w:t>(1)实测矿山2026年度开采范围（平面范围、标高），与矿山企业2025年度备案的2026年度计划开采范围进行对比，判定矿山企业是否按照计划范围开采；(2)将实测矿山2026年度开采范围（平面范围、标高）与矿山2026年度储量年报中动用范围以及标高对比，判定矿山储量年报动用块段范围数据与本次动检核查范围数据是否相符；（3）将实测矿山2026年度开采范围（平面范围、标高）与矿山采矿许可证中规定的矿区范围、开采深度进行对比，判定矿山2026年度是否存在超出批准范围采矿的行为；（4）每季度来矿山实测现场开采范围（平面范围、标高）是否存在超出批准范围采矿的行为；（5）年终提交2026年度矿山三维模型以及2026年度矿山储量动检核查及是否超越批准范围采矿监测报告。</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2.5.2质量要求：</w:t>
      </w:r>
      <w:r>
        <w:rPr>
          <w:rFonts w:hint="eastAsia" w:ascii="仿宋_GB2312" w:eastAsia="仿宋_GB2312"/>
          <w:bCs/>
          <w:color w:val="000000"/>
          <w:sz w:val="24"/>
          <w:highlight w:val="none"/>
        </w:rPr>
        <w:t>提交专家评审会通过的评审意见及年度储量动检核查和超越批准范围采矿监测报告。</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2.6报价注意事项：无。</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2.7其他要求：见合同格式中的相应条款。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2.8工期：自合同签订之日起一年</w:t>
      </w:r>
      <w:r>
        <w:rPr>
          <w:rFonts w:hint="eastAsia" w:ascii="仿宋" w:hAnsi="仿宋" w:eastAsia="仿宋" w:cs="仿宋"/>
          <w:bCs/>
          <w:sz w:val="24"/>
          <w:lang w:val="en-US"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2.9：</w:t>
      </w:r>
      <w:r>
        <w:rPr>
          <w:rFonts w:hint="eastAsia" w:ascii="仿宋" w:hAnsi="仿宋" w:eastAsia="仿宋" w:cs="仿宋"/>
          <w:bCs/>
          <w:color w:val="FF0000"/>
          <w:sz w:val="24"/>
          <w:lang w:val="en-US" w:eastAsia="zh-CN"/>
        </w:rPr>
        <w:t>此项目与中铝中州铝业有限公司冯营石灰石矿2026年度矿山储量年度报告编制项目不可同时中选</w:t>
      </w:r>
      <w:r>
        <w:rPr>
          <w:rFonts w:hint="eastAsia" w:ascii="仿宋" w:hAnsi="仿宋" w:eastAsia="仿宋" w:cs="仿宋"/>
          <w:bCs/>
          <w:sz w:val="24"/>
          <w:lang w:val="en-US" w:eastAsia="zh-CN"/>
        </w:rPr>
        <w:t>，若某在石灰石矿2026年储量年报编制项目已中选，且同时在中铝中州铝业有限公司冯营石灰石矿2026年度储量动态核查及是否超越批准范围采矿监测项目评审中排名第一，则石灰石矿2026年超层越界项目中选单位顺延至第二名。</w:t>
      </w:r>
    </w:p>
    <w:p>
      <w:pPr>
        <w:spacing w:line="440" w:lineRule="exact"/>
        <w:ind w:firstLine="562" w:firstLineChars="200"/>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3报价人资格要求</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3.1、在中华人民共和国依照《中华人民共和国民法典》注册的、具有履行合同的能力，具有</w:t>
      </w:r>
      <w:r>
        <w:rPr>
          <w:rFonts w:hint="eastAsia" w:ascii="仿宋_GB2312" w:hAnsi="仿宋_GB2312" w:eastAsia="仿宋_GB2312" w:cs="仿宋_GB2312"/>
          <w:b/>
          <w:bCs/>
          <w:color w:val="FF0000"/>
          <w:sz w:val="24"/>
          <w:szCs w:val="24"/>
          <w:lang w:val="en-US" w:eastAsia="zh-CN"/>
        </w:rPr>
        <w:t>乙级及以上测绘资质</w:t>
      </w:r>
      <w:r>
        <w:rPr>
          <w:rFonts w:hint="eastAsia" w:ascii="仿宋_GB2312" w:hAnsi="仿宋_GB2312" w:eastAsia="仿宋_GB2312" w:cs="仿宋_GB2312"/>
          <w:sz w:val="24"/>
          <w:szCs w:val="24"/>
          <w:lang w:val="en-US" w:eastAsia="zh-CN"/>
        </w:rPr>
        <w:t>，具有良好资金、设备和其他物质设施状况，良好的管理能力，经验、信誉和相应的从业人员，需提供企业法人营业执照及资质证书；</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3.2、报价人没有处于被责令停业，报价资格没有被取消，财产没有被接管、冻结、破产状态，在最近三年内没有骗取中选和严重违约及重大质量问题；</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lang w:val="en-US" w:eastAsia="zh-CN"/>
        </w:rPr>
        <w:t>3.3在承接类似于本项目的相关业务中，没有出现</w:t>
      </w:r>
      <w:r>
        <w:rPr>
          <w:rFonts w:hint="eastAsia" w:ascii="仿宋_GB2312" w:hAnsi="仿宋_GB2312" w:eastAsia="仿宋_GB2312" w:cs="仿宋_GB2312"/>
          <w:sz w:val="24"/>
          <w:szCs w:val="24"/>
          <w:highlight w:val="none"/>
          <w:lang w:val="en-US" w:eastAsia="zh-CN"/>
        </w:rPr>
        <w:t>报价人负主要责任的安全、技术、质量、商务等纠纷，没有产生严重后果，造成重大经济损失，不得在招报价数据库中存在不良记录；</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 xml:space="preserve">3.4、具有良好的商业信誉和健全的财务会计制度，提供最新年度的财务报表； </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3.5、参加采购活动前三年之内，在经营活动中没有重大违法记录及安全事故记录；</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3.6、信誉要求：报价人在全国法院失信被执行人名单信息公布与查询网(https://zxgk.court.gov.cn/)和国家发展改革委信用中国(www.creditchina.gov.cn) 网站上未被列入失信被执行人、重大税收违法案件当事人名单；未列入中铝集团承包商黑名单；</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eastAsia="仿宋_GB2312"/>
          <w:bCs/>
          <w:color w:val="auto"/>
          <w:sz w:val="24"/>
          <w:highlight w:val="none"/>
        </w:rPr>
      </w:pPr>
      <w:r>
        <w:rPr>
          <w:rFonts w:hint="eastAsia" w:ascii="仿宋_GB2312" w:hAnsi="仿宋_GB2312" w:eastAsia="仿宋_GB2312" w:cs="仿宋_GB2312"/>
          <w:sz w:val="24"/>
          <w:szCs w:val="24"/>
          <w:highlight w:val="none"/>
          <w:lang w:val="en-US" w:eastAsia="zh-CN"/>
        </w:rPr>
        <w:t>3.7、法律、行政法规规定的其他条件。</w:t>
      </w:r>
    </w:p>
    <w:p>
      <w:pPr>
        <w:spacing w:line="440" w:lineRule="exact"/>
        <w:ind w:firstLine="480" w:firstLineChars="200"/>
        <w:rPr>
          <w:rFonts w:hint="eastAsia" w:ascii="仿宋" w:hAnsi="仿宋" w:eastAsia="仿宋" w:cs="仿宋"/>
          <w:bCs/>
          <w:sz w:val="24"/>
          <w:lang w:val="en-US" w:eastAsia="zh-CN"/>
        </w:rPr>
      </w:pPr>
      <w:r>
        <w:rPr>
          <w:rFonts w:hint="eastAsia" w:ascii="仿宋_GB2312" w:eastAsia="仿宋_GB2312"/>
          <w:bCs/>
          <w:color w:val="auto"/>
          <w:sz w:val="24"/>
          <w:highlight w:val="none"/>
          <w:lang w:val="en-US" w:eastAsia="zh-CN"/>
        </w:rPr>
        <w:t>3.8报价人的安全能力能满足采购文件的要求，包括资质能力、管理能力、人员能力、绩效能力等。</w:t>
      </w:r>
    </w:p>
    <w:p>
      <w:pPr>
        <w:spacing w:line="440" w:lineRule="exact"/>
        <w:ind w:firstLine="562" w:firstLineChars="200"/>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4采购报名和采购文件的获取</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bookmarkStart w:id="0" w:name="_Toc517804008"/>
      <w:bookmarkStart w:id="1" w:name="_Toc27489"/>
      <w:bookmarkStart w:id="2" w:name="_Toc3201944"/>
      <w:bookmarkStart w:id="3" w:name="_Toc518044994"/>
      <w:r>
        <w:rPr>
          <w:rFonts w:hint="eastAsia" w:ascii="仿宋" w:hAnsi="仿宋" w:eastAsia="仿宋" w:cs="仿宋"/>
          <w:bCs/>
          <w:sz w:val="24"/>
          <w:lang w:val="en-US" w:eastAsia="zh-CN"/>
        </w:rPr>
        <w:t xml:space="preserve">4.1 </w:t>
      </w:r>
      <w:r>
        <w:rPr>
          <w:rFonts w:hint="eastAsia" w:ascii="仿宋_GB2312" w:hAnsi="仿宋_GB2312" w:eastAsia="仿宋_GB2312" w:cs="仿宋_GB2312"/>
          <w:color w:val="auto"/>
          <w:sz w:val="24"/>
          <w:highlight w:val="none"/>
        </w:rPr>
        <w:t>采购文件的价格为</w:t>
      </w:r>
      <w:r>
        <w:rPr>
          <w:rFonts w:hint="eastAsia" w:ascii="仿宋_GB2312" w:hAnsi="仿宋_GB2312" w:eastAsia="仿宋_GB2312" w:cs="仿宋_GB2312"/>
          <w:color w:val="auto"/>
          <w:sz w:val="24"/>
          <w:highlight w:val="none"/>
          <w:lang w:val="en-US" w:eastAsia="zh-CN"/>
        </w:rPr>
        <w:t>2</w:t>
      </w:r>
      <w:r>
        <w:rPr>
          <w:rFonts w:hint="eastAsia" w:ascii="仿宋_GB2312" w:hAnsi="仿宋_GB2312" w:eastAsia="仿宋_GB2312" w:cs="仿宋_GB2312"/>
          <w:color w:val="auto"/>
          <w:sz w:val="24"/>
          <w:highlight w:val="none"/>
        </w:rPr>
        <w:t>00元/份，采购文件购买后该费用无论何种原因或中选与否均不予退还。</w:t>
      </w:r>
      <w:r>
        <w:rPr>
          <w:rFonts w:hint="eastAsia" w:ascii="仿宋_GB2312" w:eastAsia="仿宋_GB2312"/>
          <w:bCs/>
          <w:color w:val="auto"/>
          <w:sz w:val="24"/>
          <w:highlight w:val="none"/>
        </w:rPr>
        <w:t>采购文件必须通过联</w:t>
      </w:r>
      <w:r>
        <w:rPr>
          <w:rFonts w:hint="eastAsia" w:ascii="仿宋_GB2312" w:eastAsia="仿宋_GB2312"/>
          <w:bCs/>
          <w:sz w:val="24"/>
          <w:highlight w:val="none"/>
        </w:rPr>
        <w:t>系人获取，未通过联系人获取采购文件的均视为无效采购，取消其报价资格。拟报价人必须将</w:t>
      </w:r>
      <w:r>
        <w:rPr>
          <w:rFonts w:hint="eastAsia" w:ascii="仿宋_GB2312" w:hAnsi="Times New Roman" w:eastAsia="仿宋_GB2312" w:cs="Times New Roman"/>
          <w:bCs/>
          <w:color w:val="FF0000"/>
          <w:sz w:val="24"/>
          <w:highlight w:val="none"/>
        </w:rPr>
        <w:t>付款凭证</w:t>
      </w:r>
      <w:r>
        <w:rPr>
          <w:rFonts w:hint="eastAsia" w:ascii="仿宋_GB2312" w:hAnsi="Times New Roman" w:eastAsia="仿宋_GB2312" w:cs="Times New Roman"/>
          <w:bCs/>
          <w:color w:val="FF0000"/>
          <w:sz w:val="24"/>
          <w:highlight w:val="none"/>
          <w:lang w:val="en-US" w:eastAsia="zh-CN"/>
        </w:rPr>
        <w:t>回执单、企业营业执照（三证合一）、开户许可证（加盖公章）、法人身份证（正反面）</w:t>
      </w:r>
      <w:r>
        <w:rPr>
          <w:rFonts w:hint="eastAsia" w:ascii="仿宋_GB2312" w:eastAsia="仿宋_GB2312"/>
          <w:bCs/>
          <w:sz w:val="24"/>
          <w:highlight w:val="none"/>
        </w:rPr>
        <w:t>（</w:t>
      </w:r>
      <w:r>
        <w:rPr>
          <w:rFonts w:hint="eastAsia" w:ascii="仿宋_GB2312" w:eastAsia="仿宋_GB2312"/>
          <w:bCs/>
          <w:sz w:val="24"/>
          <w:highlight w:val="none"/>
          <w:lang w:eastAsia="zh-CN"/>
        </w:rPr>
        <w:t>微信形式</w:t>
      </w:r>
      <w:r>
        <w:rPr>
          <w:rFonts w:hint="eastAsia" w:ascii="仿宋_GB2312" w:eastAsia="仿宋_GB2312"/>
          <w:bCs/>
          <w:sz w:val="24"/>
          <w:highlight w:val="none"/>
        </w:rPr>
        <w:t>）传送至联系人后方可取得采购文件（纸质版或电子版）。纸质版可到采购人处领取，电子版通过电子邮件方式发至报价人联系人邮箱</w:t>
      </w:r>
      <w:r>
        <w:rPr>
          <w:rFonts w:hint="eastAsia" w:ascii="仿宋" w:hAnsi="仿宋" w:eastAsia="仿宋" w:cs="仿宋"/>
          <w:bCs/>
          <w:sz w:val="24"/>
          <w:lang w:val="en-US" w:eastAsia="zh-CN"/>
        </w:rPr>
        <w:t>。</w:t>
      </w:r>
    </w:p>
    <w:p>
      <w:pPr>
        <w:snapToGrid w:val="0"/>
        <w:spacing w:line="400" w:lineRule="exact"/>
        <w:ind w:firstLine="480" w:firstLineChars="200"/>
        <w:textAlignment w:val="baseline"/>
        <w:rPr>
          <w:rFonts w:hint="default" w:ascii="仿宋_GB2312" w:hAnsi="仿宋_GB2312" w:eastAsia="仿宋_GB2312" w:cs="仿宋_GB2312"/>
          <w:color w:val="FF0000"/>
          <w:sz w:val="24"/>
          <w:highlight w:val="none"/>
          <w:lang w:val="en-US" w:eastAsia="zh-CN"/>
        </w:rPr>
      </w:pPr>
      <w:r>
        <w:rPr>
          <w:rFonts w:hint="eastAsia" w:ascii="仿宋_GB2312" w:hAnsi="仿宋_GB2312" w:eastAsia="仿宋_GB2312" w:cs="仿宋_GB2312"/>
          <w:color w:val="FF0000"/>
          <w:sz w:val="24"/>
          <w:highlight w:val="none"/>
          <w:lang w:val="en-US" w:eastAsia="zh-CN"/>
        </w:rPr>
        <w:t>报价保证金1500元</w:t>
      </w:r>
      <w:bookmarkStart w:id="14" w:name="_GoBack"/>
      <w:bookmarkEnd w:id="14"/>
      <w:r>
        <w:rPr>
          <w:rFonts w:hint="eastAsia" w:ascii="仿宋_GB2312" w:hAnsi="仿宋_GB2312" w:eastAsia="仿宋_GB2312" w:cs="仿宋_GB2312"/>
          <w:color w:val="FF0000"/>
          <w:sz w:val="24"/>
          <w:highlight w:val="none"/>
          <w:lang w:val="en-US" w:eastAsia="zh-CN"/>
        </w:rPr>
        <w:t>（壹仟伍佰元）</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汇款信息如下（保证金必须是公对公汇款）：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开户名称：中铝中州铝业有限公司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开户行：中国工商银行焦作分行中铝支行</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银行账号：1709028019200089451</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汇款备注中，须注明</w:t>
      </w:r>
      <w:r>
        <w:rPr>
          <w:rFonts w:hint="eastAsia" w:ascii="仿宋_GB2312" w:eastAsia="仿宋_GB2312"/>
          <w:bCs/>
          <w:sz w:val="24"/>
          <w:highlight w:val="none"/>
        </w:rPr>
        <w:t>“冯营石灰石</w:t>
      </w:r>
      <w:r>
        <w:rPr>
          <w:rFonts w:hint="eastAsia" w:ascii="仿宋_GB2312" w:eastAsia="仿宋_GB2312"/>
          <w:bCs/>
          <w:sz w:val="24"/>
          <w:highlight w:val="none"/>
          <w:lang w:eastAsia="zh-CN"/>
        </w:rPr>
        <w:t>矿</w:t>
      </w:r>
      <w:r>
        <w:rPr>
          <w:rFonts w:hint="eastAsia" w:ascii="仿宋_GB2312" w:eastAsia="仿宋_GB2312"/>
          <w:bCs/>
          <w:sz w:val="24"/>
          <w:highlight w:val="none"/>
        </w:rPr>
        <w:t>202</w:t>
      </w:r>
      <w:r>
        <w:rPr>
          <w:rFonts w:hint="eastAsia" w:ascii="仿宋_GB2312" w:eastAsia="仿宋_GB2312"/>
          <w:bCs/>
          <w:sz w:val="24"/>
          <w:highlight w:val="none"/>
          <w:lang w:val="en-US" w:eastAsia="zh-CN"/>
        </w:rPr>
        <w:t>6</w:t>
      </w:r>
      <w:r>
        <w:rPr>
          <w:rFonts w:hint="eastAsia" w:ascii="仿宋_GB2312" w:eastAsia="仿宋_GB2312"/>
          <w:bCs/>
          <w:sz w:val="24"/>
          <w:highlight w:val="none"/>
        </w:rPr>
        <w:t>年度储量动态核查及是否超越批准范围采矿监测项目采购文件费</w:t>
      </w:r>
      <w:r>
        <w:rPr>
          <w:rFonts w:hint="eastAsia" w:ascii="仿宋_GB2312" w:hAnsi="仿宋_GB2312" w:eastAsia="仿宋_GB2312" w:cs="仿宋_GB2312"/>
          <w:sz w:val="24"/>
          <w:highlight w:val="none"/>
        </w:rPr>
        <w:t>”</w:t>
      </w:r>
      <w:r>
        <w:rPr>
          <w:rFonts w:hint="eastAsia" w:ascii="仿宋_GB2312" w:hAnsi="仿宋_GB2312" w:eastAsia="仿宋_GB2312" w:cs="仿宋_GB2312"/>
          <w:sz w:val="24"/>
          <w:highlight w:val="none"/>
          <w:lang w:eastAsia="zh-CN"/>
        </w:rPr>
        <w:t>，</w:t>
      </w:r>
      <w:r>
        <w:rPr>
          <w:rFonts w:hint="eastAsia" w:ascii="仿宋_GB2312" w:eastAsia="仿宋_GB2312"/>
          <w:bCs/>
          <w:sz w:val="24"/>
          <w:highlight w:val="none"/>
        </w:rPr>
        <w:t>“冯营石灰石</w:t>
      </w:r>
      <w:r>
        <w:rPr>
          <w:rFonts w:hint="eastAsia" w:ascii="仿宋_GB2312" w:eastAsia="仿宋_GB2312"/>
          <w:bCs/>
          <w:sz w:val="24"/>
          <w:highlight w:val="none"/>
          <w:lang w:eastAsia="zh-CN"/>
        </w:rPr>
        <w:t>矿</w:t>
      </w:r>
      <w:r>
        <w:rPr>
          <w:rFonts w:hint="eastAsia" w:ascii="仿宋_GB2312" w:eastAsia="仿宋_GB2312"/>
          <w:bCs/>
          <w:sz w:val="24"/>
          <w:highlight w:val="none"/>
        </w:rPr>
        <w:t>202</w:t>
      </w:r>
      <w:r>
        <w:rPr>
          <w:rFonts w:hint="eastAsia" w:ascii="仿宋_GB2312" w:eastAsia="仿宋_GB2312"/>
          <w:bCs/>
          <w:sz w:val="24"/>
          <w:highlight w:val="none"/>
          <w:lang w:val="en-US" w:eastAsia="zh-CN"/>
        </w:rPr>
        <w:t>6</w:t>
      </w:r>
      <w:r>
        <w:rPr>
          <w:rFonts w:hint="eastAsia" w:ascii="仿宋_GB2312" w:eastAsia="仿宋_GB2312"/>
          <w:bCs/>
          <w:sz w:val="24"/>
          <w:highlight w:val="none"/>
        </w:rPr>
        <w:t>年度储量动态核查及是否超越批准范围采矿监测项目</w:t>
      </w:r>
      <w:r>
        <w:rPr>
          <w:rFonts w:hint="eastAsia" w:ascii="仿宋_GB2312" w:eastAsia="仿宋_GB2312"/>
          <w:bCs/>
          <w:sz w:val="24"/>
          <w:highlight w:val="none"/>
          <w:lang w:eastAsia="zh-CN"/>
        </w:rPr>
        <w:t>报价保证金</w:t>
      </w:r>
      <w:r>
        <w:rPr>
          <w:rFonts w:hint="eastAsia" w:ascii="仿宋_GB2312" w:hAnsi="仿宋_GB2312" w:eastAsia="仿宋_GB2312" w:cs="仿宋_GB2312"/>
          <w:sz w:val="24"/>
          <w:highlight w:val="none"/>
        </w:rPr>
        <w:t>”</w:t>
      </w:r>
      <w:r>
        <w:rPr>
          <w:rFonts w:hint="eastAsia" w:ascii="仿宋_GB2312" w:eastAsia="仿宋_GB2312"/>
          <w:bCs/>
          <w:sz w:val="24"/>
        </w:rPr>
        <w:t>。</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4.2 购买采购文件时间：自公告之日起至2026年11月9日16:30（北京时间）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采购文件必须通过联系人获取，未通过联系人获取采购文件的均视为无效采购，取消其报价资格。拟报价人必须将企业营业执照（三证合一）、开户许可证、法人身份证（正反面）、文件费回执等传送至联系人后方可取得采购文件（电子版）。</w:t>
      </w:r>
    </w:p>
    <w:p>
      <w:pPr>
        <w:spacing w:line="440" w:lineRule="exact"/>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5资格审查方式</w:t>
      </w:r>
      <w:bookmarkEnd w:id="0"/>
      <w:bookmarkEnd w:id="1"/>
      <w:bookmarkEnd w:id="2"/>
      <w:bookmarkEnd w:id="3"/>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本次采购资格审查方式采用资格后审，在评审时由评审委员会对报价人进行资格审查。</w:t>
      </w:r>
    </w:p>
    <w:p>
      <w:pPr>
        <w:spacing w:line="440" w:lineRule="exact"/>
        <w:rPr>
          <w:rFonts w:hint="eastAsia" w:ascii="仿宋" w:hAnsi="仿宋" w:eastAsia="仿宋" w:cs="仿宋"/>
          <w:b/>
          <w:bCs w:val="0"/>
          <w:sz w:val="28"/>
          <w:szCs w:val="28"/>
          <w:lang w:val="en-US" w:eastAsia="zh-CN"/>
        </w:rPr>
      </w:pPr>
      <w:bookmarkStart w:id="4" w:name="_Toc517804009"/>
      <w:bookmarkStart w:id="5" w:name="_Toc518044995"/>
      <w:bookmarkStart w:id="6" w:name="_Toc3201945"/>
      <w:bookmarkStart w:id="7" w:name="_Toc9267"/>
      <w:r>
        <w:rPr>
          <w:rFonts w:hint="eastAsia" w:ascii="仿宋" w:hAnsi="仿宋" w:eastAsia="仿宋" w:cs="仿宋"/>
          <w:b/>
          <w:bCs w:val="0"/>
          <w:sz w:val="28"/>
          <w:szCs w:val="28"/>
          <w:lang w:val="en-US" w:eastAsia="zh-CN"/>
        </w:rPr>
        <w:t>6报价文件的递交</w:t>
      </w:r>
      <w:bookmarkEnd w:id="4"/>
      <w:bookmarkEnd w:id="5"/>
      <w:bookmarkEnd w:id="6"/>
      <w:bookmarkEnd w:id="7"/>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6.1 报价文件递交截止时间/报价时间：2026年11月10日10：00（北京时间）。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6.2 报价及评审地点：生产管控中心生产技术办公室矿山会议室（中州铝业办公楼西保卫部三楼）</w:t>
      </w:r>
    </w:p>
    <w:p>
      <w:pPr>
        <w:spacing w:line="440" w:lineRule="exact"/>
        <w:rPr>
          <w:rFonts w:hint="eastAsia" w:ascii="仿宋" w:hAnsi="仿宋" w:eastAsia="仿宋" w:cs="仿宋"/>
          <w:b/>
          <w:bCs w:val="0"/>
          <w:sz w:val="28"/>
          <w:szCs w:val="28"/>
          <w:lang w:val="en-US" w:eastAsia="zh-CN"/>
        </w:rPr>
      </w:pPr>
      <w:bookmarkStart w:id="8" w:name="_Toc30303"/>
      <w:r>
        <w:rPr>
          <w:rFonts w:hint="eastAsia" w:ascii="仿宋" w:hAnsi="仿宋" w:eastAsia="仿宋" w:cs="仿宋"/>
          <w:b/>
          <w:bCs w:val="0"/>
          <w:sz w:val="28"/>
          <w:szCs w:val="28"/>
          <w:lang w:val="en-US" w:eastAsia="zh-CN"/>
        </w:rPr>
        <w:t>7发布公告的媒介</w:t>
      </w:r>
      <w:bookmarkEnd w:id="8"/>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我公司仅在中铝中州铝业有限公司（https://zzly.chinalco.com.cn/）发布有关该项目的采购信息，我公司郑重提醒各报价人注意：与该项目相关采购事宜均须与我公司指定人员联系，我公司对任何转载信息及由此产生的后果均不承担任何责任。</w:t>
      </w:r>
    </w:p>
    <w:p>
      <w:pPr>
        <w:spacing w:line="440" w:lineRule="exact"/>
        <w:rPr>
          <w:rFonts w:hint="eastAsia" w:ascii="仿宋" w:hAnsi="仿宋" w:eastAsia="仿宋" w:cs="仿宋"/>
          <w:b/>
          <w:bCs w:val="0"/>
          <w:sz w:val="28"/>
          <w:szCs w:val="28"/>
          <w:lang w:val="en-US" w:eastAsia="zh-CN"/>
        </w:rPr>
      </w:pPr>
      <w:bookmarkStart w:id="9" w:name="_Toc518044997"/>
      <w:bookmarkStart w:id="10" w:name="_Toc22632"/>
      <w:bookmarkStart w:id="11" w:name="_Toc517804011"/>
      <w:bookmarkStart w:id="12" w:name="_Toc3201947"/>
      <w:r>
        <w:rPr>
          <w:rFonts w:hint="eastAsia" w:ascii="仿宋" w:hAnsi="仿宋" w:eastAsia="仿宋" w:cs="仿宋"/>
          <w:b/>
          <w:bCs w:val="0"/>
          <w:sz w:val="28"/>
          <w:szCs w:val="28"/>
          <w:lang w:val="en-US" w:eastAsia="zh-CN"/>
        </w:rPr>
        <w:t>8联系方式</w:t>
      </w:r>
      <w:bookmarkEnd w:id="9"/>
      <w:bookmarkEnd w:id="10"/>
      <w:bookmarkEnd w:id="11"/>
      <w:bookmarkEnd w:id="12"/>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采购人：中铝中州铝业有限公司生产管控中心</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地  址：河南省修武县七贤镇中铝中州铝业有限公司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联系人：王</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电  话：0391-3505375        15544395273（加此微信获取采购文件）</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电子邮箱：</w:t>
      </w:r>
      <w:r>
        <w:rPr>
          <w:rFonts w:hint="eastAsia" w:ascii="仿宋" w:hAnsi="仿宋" w:eastAsia="仿宋" w:cs="仿宋"/>
          <w:bCs/>
          <w:sz w:val="24"/>
          <w:lang w:val="en-US" w:eastAsia="zh-CN"/>
        </w:rPr>
        <w:fldChar w:fldCharType="begin"/>
      </w:r>
      <w:r>
        <w:rPr>
          <w:rFonts w:hint="eastAsia" w:ascii="仿宋" w:hAnsi="仿宋" w:eastAsia="仿宋" w:cs="仿宋"/>
          <w:bCs/>
          <w:sz w:val="24"/>
          <w:lang w:val="en-US" w:eastAsia="zh-CN"/>
        </w:rPr>
        <w:instrText xml:space="preserve"> HYPERLINK "mailto:3245396774@qq.com" </w:instrText>
      </w:r>
      <w:r>
        <w:rPr>
          <w:rFonts w:hint="eastAsia" w:ascii="仿宋" w:hAnsi="仿宋" w:eastAsia="仿宋" w:cs="仿宋"/>
          <w:bCs/>
          <w:sz w:val="24"/>
          <w:lang w:val="en-US" w:eastAsia="zh-CN"/>
        </w:rPr>
        <w:fldChar w:fldCharType="separate"/>
      </w:r>
      <w:r>
        <w:rPr>
          <w:rStyle w:val="15"/>
          <w:rFonts w:hint="eastAsia" w:ascii="仿宋" w:hAnsi="仿宋" w:eastAsia="仿宋" w:cs="仿宋"/>
          <w:bCs/>
          <w:sz w:val="24"/>
          <w:lang w:val="en-US" w:eastAsia="zh-CN"/>
        </w:rPr>
        <w:t>3245396774@qq.com</w:t>
      </w:r>
      <w:r>
        <w:rPr>
          <w:rFonts w:hint="eastAsia" w:ascii="仿宋" w:hAnsi="仿宋" w:eastAsia="仿宋" w:cs="仿宋"/>
          <w:bCs/>
          <w:sz w:val="24"/>
          <w:lang w:val="en-US" w:eastAsia="zh-CN"/>
        </w:rPr>
        <w:fldChar w:fldCharType="end"/>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bookmarkStart w:id="13" w:name="_Toc32084"/>
      <w:r>
        <w:rPr>
          <w:rFonts w:hint="eastAsia" w:ascii="仿宋" w:hAnsi="仿宋" w:eastAsia="仿宋" w:cs="仿宋"/>
          <w:bCs/>
          <w:sz w:val="24"/>
          <w:lang w:val="en-US" w:eastAsia="zh-CN"/>
        </w:rPr>
        <w:t>技术咨询联系人：王立奇 18839106516</w:t>
      </w:r>
    </w:p>
    <w:p>
      <w:pPr>
        <w:spacing w:line="440" w:lineRule="exact"/>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9购买采购文件款请按如下地址汇款</w:t>
      </w:r>
      <w:bookmarkEnd w:id="13"/>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汇款信息如下（必须是公对公汇款）：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开户名称：中铝中州铝业有限公司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开户行：中国工商银行焦作分行中铝支行</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银行账号：1709028019200089451</w:t>
      </w:r>
    </w:p>
    <w:p>
      <w:pPr>
        <w:spacing w:line="440" w:lineRule="exact"/>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10监督部门：</w:t>
      </w:r>
      <w:r>
        <w:rPr>
          <w:rFonts w:hint="eastAsia" w:ascii="仿宋" w:hAnsi="仿宋" w:eastAsia="仿宋" w:cs="仿宋"/>
          <w:bCs/>
          <w:sz w:val="24"/>
          <w:lang w:val="en-US" w:eastAsia="zh-CN"/>
        </w:rPr>
        <w:t>投诉举报部门</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中铝中州铝业有限公司：0391-3503580</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中国铝业股份有限公司：010-82298446</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中国铝业集团有限公司：010-82298683</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邮箱：zzlyjw02@126.com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0MjIyMzMyMTlkNDAxNTY2NmYwY2YyZjk4N2FhNDQifQ=="/>
  </w:docVars>
  <w:rsids>
    <w:rsidRoot w:val="00000000"/>
    <w:rsid w:val="00155351"/>
    <w:rsid w:val="00BA7CA7"/>
    <w:rsid w:val="027A3611"/>
    <w:rsid w:val="02F063CD"/>
    <w:rsid w:val="031C6264"/>
    <w:rsid w:val="037B371D"/>
    <w:rsid w:val="037D6B45"/>
    <w:rsid w:val="0393643C"/>
    <w:rsid w:val="03AA4003"/>
    <w:rsid w:val="04483FA6"/>
    <w:rsid w:val="044E0E32"/>
    <w:rsid w:val="04C4495A"/>
    <w:rsid w:val="05880374"/>
    <w:rsid w:val="05B7748E"/>
    <w:rsid w:val="05C532C6"/>
    <w:rsid w:val="065E79C1"/>
    <w:rsid w:val="06973E80"/>
    <w:rsid w:val="06EC048E"/>
    <w:rsid w:val="071F7986"/>
    <w:rsid w:val="08164F8D"/>
    <w:rsid w:val="09027D76"/>
    <w:rsid w:val="0AA27488"/>
    <w:rsid w:val="0B094A63"/>
    <w:rsid w:val="0B2F3A13"/>
    <w:rsid w:val="0BAD3963"/>
    <w:rsid w:val="0C880C59"/>
    <w:rsid w:val="0C9475FE"/>
    <w:rsid w:val="0D7F205C"/>
    <w:rsid w:val="0DF40C53"/>
    <w:rsid w:val="0E1F739B"/>
    <w:rsid w:val="0EC21BE6"/>
    <w:rsid w:val="0EEC1B28"/>
    <w:rsid w:val="0F3D3D81"/>
    <w:rsid w:val="0FD069AE"/>
    <w:rsid w:val="10BC1BF6"/>
    <w:rsid w:val="10D73F5D"/>
    <w:rsid w:val="11C10E95"/>
    <w:rsid w:val="11DC7A7D"/>
    <w:rsid w:val="122D02D9"/>
    <w:rsid w:val="12451511"/>
    <w:rsid w:val="12FB03D7"/>
    <w:rsid w:val="13F63820"/>
    <w:rsid w:val="142859FB"/>
    <w:rsid w:val="144E2788"/>
    <w:rsid w:val="1464310E"/>
    <w:rsid w:val="14C667C2"/>
    <w:rsid w:val="163065E9"/>
    <w:rsid w:val="165B2217"/>
    <w:rsid w:val="16677B31"/>
    <w:rsid w:val="16D43419"/>
    <w:rsid w:val="171B1048"/>
    <w:rsid w:val="17EC6540"/>
    <w:rsid w:val="190C7CE1"/>
    <w:rsid w:val="19D11E91"/>
    <w:rsid w:val="19E1223B"/>
    <w:rsid w:val="19EB1927"/>
    <w:rsid w:val="1AC92B69"/>
    <w:rsid w:val="1B2D3AE4"/>
    <w:rsid w:val="1CCC4B92"/>
    <w:rsid w:val="1D623594"/>
    <w:rsid w:val="20B53F66"/>
    <w:rsid w:val="20D0142F"/>
    <w:rsid w:val="21AA7866"/>
    <w:rsid w:val="21AF0D0A"/>
    <w:rsid w:val="22845119"/>
    <w:rsid w:val="23720241"/>
    <w:rsid w:val="24A563F4"/>
    <w:rsid w:val="24B13AD7"/>
    <w:rsid w:val="28547E75"/>
    <w:rsid w:val="28A714A1"/>
    <w:rsid w:val="292A2F83"/>
    <w:rsid w:val="29600B3C"/>
    <w:rsid w:val="29602F6C"/>
    <w:rsid w:val="297840D8"/>
    <w:rsid w:val="2A3C3357"/>
    <w:rsid w:val="2C0B7693"/>
    <w:rsid w:val="2C43774A"/>
    <w:rsid w:val="2D1D4C6D"/>
    <w:rsid w:val="2D67693D"/>
    <w:rsid w:val="2DEC690F"/>
    <w:rsid w:val="2EDD7488"/>
    <w:rsid w:val="2EDE29FD"/>
    <w:rsid w:val="30E958BB"/>
    <w:rsid w:val="318B05EC"/>
    <w:rsid w:val="31B86A3F"/>
    <w:rsid w:val="31D8306E"/>
    <w:rsid w:val="32285F6F"/>
    <w:rsid w:val="339064C2"/>
    <w:rsid w:val="33BC290D"/>
    <w:rsid w:val="346902C6"/>
    <w:rsid w:val="34E40FCA"/>
    <w:rsid w:val="35102E7B"/>
    <w:rsid w:val="351729F7"/>
    <w:rsid w:val="35C76459"/>
    <w:rsid w:val="377636F0"/>
    <w:rsid w:val="37C07F75"/>
    <w:rsid w:val="38F4304F"/>
    <w:rsid w:val="38F73281"/>
    <w:rsid w:val="3AAC3BE1"/>
    <w:rsid w:val="3AE96BE3"/>
    <w:rsid w:val="3C3E6CFB"/>
    <w:rsid w:val="3C6A5B02"/>
    <w:rsid w:val="3E0E49C6"/>
    <w:rsid w:val="3E2303A6"/>
    <w:rsid w:val="3EBE79F3"/>
    <w:rsid w:val="3ED2731A"/>
    <w:rsid w:val="3FC30CA2"/>
    <w:rsid w:val="3FE43E1D"/>
    <w:rsid w:val="401A783F"/>
    <w:rsid w:val="406805AA"/>
    <w:rsid w:val="411C2913"/>
    <w:rsid w:val="43E02B4D"/>
    <w:rsid w:val="44590819"/>
    <w:rsid w:val="446724B7"/>
    <w:rsid w:val="45476DEF"/>
    <w:rsid w:val="45C368D4"/>
    <w:rsid w:val="464E0242"/>
    <w:rsid w:val="465B295F"/>
    <w:rsid w:val="46CE4098"/>
    <w:rsid w:val="470B0A42"/>
    <w:rsid w:val="490F1FF3"/>
    <w:rsid w:val="49695393"/>
    <w:rsid w:val="497955D6"/>
    <w:rsid w:val="49C643CF"/>
    <w:rsid w:val="49E07403"/>
    <w:rsid w:val="49F37DF6"/>
    <w:rsid w:val="4B4843E2"/>
    <w:rsid w:val="4C27758A"/>
    <w:rsid w:val="4CA57490"/>
    <w:rsid w:val="4CFD651E"/>
    <w:rsid w:val="4E4572F4"/>
    <w:rsid w:val="4EDB288F"/>
    <w:rsid w:val="4FC77BF5"/>
    <w:rsid w:val="51735001"/>
    <w:rsid w:val="523C1897"/>
    <w:rsid w:val="52F23C05"/>
    <w:rsid w:val="52F83A10"/>
    <w:rsid w:val="538C00C5"/>
    <w:rsid w:val="550A42E0"/>
    <w:rsid w:val="56140091"/>
    <w:rsid w:val="5716224D"/>
    <w:rsid w:val="571748E3"/>
    <w:rsid w:val="581D594B"/>
    <w:rsid w:val="59395101"/>
    <w:rsid w:val="5AFD146D"/>
    <w:rsid w:val="5B5434A8"/>
    <w:rsid w:val="5B5E287E"/>
    <w:rsid w:val="5BF154A0"/>
    <w:rsid w:val="5C031BC4"/>
    <w:rsid w:val="5C0F4FE4"/>
    <w:rsid w:val="5C2141E5"/>
    <w:rsid w:val="5D6F11AF"/>
    <w:rsid w:val="5DA3376E"/>
    <w:rsid w:val="5E863CA9"/>
    <w:rsid w:val="5EC155FD"/>
    <w:rsid w:val="5F7F56ED"/>
    <w:rsid w:val="603248F4"/>
    <w:rsid w:val="60662791"/>
    <w:rsid w:val="62272952"/>
    <w:rsid w:val="62DF10A6"/>
    <w:rsid w:val="631B7617"/>
    <w:rsid w:val="63875FB1"/>
    <w:rsid w:val="64D50E4D"/>
    <w:rsid w:val="651E6BDA"/>
    <w:rsid w:val="652D5C58"/>
    <w:rsid w:val="65D0673C"/>
    <w:rsid w:val="662D3262"/>
    <w:rsid w:val="66636F9A"/>
    <w:rsid w:val="66CD3A0C"/>
    <w:rsid w:val="67916D24"/>
    <w:rsid w:val="68103152"/>
    <w:rsid w:val="68554ED4"/>
    <w:rsid w:val="69856C60"/>
    <w:rsid w:val="6A627023"/>
    <w:rsid w:val="6B3E73F7"/>
    <w:rsid w:val="6BAD0EBB"/>
    <w:rsid w:val="6BE94B93"/>
    <w:rsid w:val="6C092392"/>
    <w:rsid w:val="6C4D6722"/>
    <w:rsid w:val="6CC43549"/>
    <w:rsid w:val="6D0D7C60"/>
    <w:rsid w:val="6D8242FF"/>
    <w:rsid w:val="6E9F6FDD"/>
    <w:rsid w:val="6EA07640"/>
    <w:rsid w:val="6EC711C7"/>
    <w:rsid w:val="6EFB29F9"/>
    <w:rsid w:val="6F060E0B"/>
    <w:rsid w:val="6F273B31"/>
    <w:rsid w:val="707814EF"/>
    <w:rsid w:val="70AD26B9"/>
    <w:rsid w:val="71E52089"/>
    <w:rsid w:val="71ED7056"/>
    <w:rsid w:val="72543333"/>
    <w:rsid w:val="728F1117"/>
    <w:rsid w:val="732C01D1"/>
    <w:rsid w:val="73DD17AE"/>
    <w:rsid w:val="73E01C41"/>
    <w:rsid w:val="740578E3"/>
    <w:rsid w:val="74624D35"/>
    <w:rsid w:val="75181898"/>
    <w:rsid w:val="7568697B"/>
    <w:rsid w:val="7723759C"/>
    <w:rsid w:val="77720653"/>
    <w:rsid w:val="77E572A5"/>
    <w:rsid w:val="77F55EC0"/>
    <w:rsid w:val="780D4FB8"/>
    <w:rsid w:val="78355FAD"/>
    <w:rsid w:val="79246A5D"/>
    <w:rsid w:val="7A22256E"/>
    <w:rsid w:val="7A2A7DCB"/>
    <w:rsid w:val="7B320D09"/>
    <w:rsid w:val="7B564EC8"/>
    <w:rsid w:val="7B634526"/>
    <w:rsid w:val="7B747B10"/>
    <w:rsid w:val="7B9A4DB4"/>
    <w:rsid w:val="7D5B2A16"/>
    <w:rsid w:val="7F062761"/>
    <w:rsid w:val="7F0B2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
    <w:name w:val="heading 1"/>
    <w:basedOn w:val="1"/>
    <w:next w:val="1"/>
    <w:qFormat/>
    <w:uiPriority w:val="9"/>
    <w:pPr>
      <w:keepNext/>
      <w:keepLines/>
      <w:spacing w:line="360" w:lineRule="auto"/>
      <w:jc w:val="center"/>
      <w:outlineLvl w:val="0"/>
    </w:pPr>
    <w:rPr>
      <w:rFonts w:ascii="黑体" w:hAnsi="宋体" w:eastAsia="黑体"/>
      <w:kern w:val="44"/>
      <w:sz w:val="30"/>
      <w:szCs w:val="44"/>
    </w:rPr>
  </w:style>
  <w:style w:type="paragraph" w:styleId="8">
    <w:name w:val="heading 2"/>
    <w:basedOn w:val="1"/>
    <w:next w:val="1"/>
    <w:qFormat/>
    <w:uiPriority w:val="0"/>
    <w:pPr>
      <w:keepNext/>
      <w:keepLines/>
      <w:tabs>
        <w:tab w:val="left" w:pos="0"/>
      </w:tabs>
      <w:suppressAutoHyphens/>
      <w:spacing w:before="260" w:after="260" w:line="408" w:lineRule="auto"/>
      <w:ind w:left="576" w:hanging="576"/>
      <w:outlineLvl w:val="1"/>
    </w:pPr>
    <w:rPr>
      <w:rFonts w:ascii="Arial" w:hAnsi="Arial" w:eastAsia="黑体"/>
      <w:b/>
      <w:bCs/>
      <w:sz w:val="32"/>
      <w:szCs w:val="32"/>
      <w:lang w:eastAsia="ar-SA"/>
    </w:rPr>
  </w:style>
  <w:style w:type="character" w:default="1" w:styleId="14">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First Indent"/>
    <w:basedOn w:val="3"/>
    <w:next w:val="4"/>
    <w:qFormat/>
    <w:uiPriority w:val="0"/>
    <w:pPr>
      <w:widowControl w:val="0"/>
      <w:spacing w:after="120"/>
      <w:ind w:firstLine="420" w:firstLineChars="100"/>
      <w:jc w:val="both"/>
    </w:pPr>
    <w:rPr>
      <w:kern w:val="2"/>
      <w:sz w:val="21"/>
      <w:szCs w:val="24"/>
      <w:lang w:val="en-US" w:eastAsia="zh-CN" w:bidi="ar-SA"/>
    </w:rPr>
  </w:style>
  <w:style w:type="paragraph" w:styleId="3">
    <w:name w:val="Body Text"/>
    <w:basedOn w:val="1"/>
    <w:next w:val="1"/>
    <w:qFormat/>
    <w:uiPriority w:val="0"/>
    <w:pPr>
      <w:spacing w:after="120"/>
    </w:pPr>
  </w:style>
  <w:style w:type="paragraph" w:styleId="4">
    <w:name w:val="Body Text First Indent 2"/>
    <w:basedOn w:val="5"/>
    <w:next w:val="2"/>
    <w:unhideWhenUsed/>
    <w:qFormat/>
    <w:uiPriority w:val="99"/>
    <w:pPr>
      <w:spacing w:before="100" w:beforeAutospacing="1"/>
      <w:ind w:left="200" w:firstLine="420"/>
    </w:pPr>
  </w:style>
  <w:style w:type="paragraph" w:styleId="5">
    <w:name w:val="Body Text Indent"/>
    <w:basedOn w:val="1"/>
    <w:next w:val="6"/>
    <w:qFormat/>
    <w:uiPriority w:val="0"/>
    <w:pPr>
      <w:widowControl/>
      <w:spacing w:after="120" w:afterAutospacing="0"/>
      <w:ind w:left="420" w:leftChars="200"/>
      <w:jc w:val="left"/>
    </w:pPr>
    <w:rPr>
      <w:kern w:val="0"/>
      <w:sz w:val="20"/>
      <w:szCs w:val="20"/>
      <w:lang w:val="en-GB" w:eastAsia="en-US"/>
    </w:rPr>
  </w:style>
  <w:style w:type="paragraph" w:styleId="6">
    <w:name w:val="Normal Indent"/>
    <w:basedOn w:val="1"/>
    <w:qFormat/>
    <w:uiPriority w:val="0"/>
    <w:pPr>
      <w:spacing w:line="360" w:lineRule="auto"/>
      <w:ind w:firstLine="200" w:firstLineChars="200"/>
    </w:pPr>
    <w:rPr>
      <w:rFonts w:ascii="宋体" w:hAnsi="宋体"/>
      <w:sz w:val="24"/>
      <w:szCs w:val="20"/>
    </w:rPr>
  </w:style>
  <w:style w:type="paragraph" w:styleId="9">
    <w:name w:val="index 8"/>
    <w:basedOn w:val="1"/>
    <w:next w:val="1"/>
    <w:qFormat/>
    <w:uiPriority w:val="0"/>
    <w:pPr>
      <w:ind w:left="0" w:firstLine="800" w:firstLineChars="200"/>
    </w:pPr>
    <w:rPr>
      <w:rFonts w:ascii="Calibri" w:hAnsi="Calibri" w:eastAsia="仿宋_GB2312" w:cs="Times New Roman"/>
      <w:sz w:val="32"/>
    </w:rPr>
  </w:style>
  <w:style w:type="paragraph" w:styleId="10">
    <w:name w:val="annotation text"/>
    <w:basedOn w:val="1"/>
    <w:qFormat/>
    <w:uiPriority w:val="0"/>
    <w:pPr>
      <w:jc w:val="left"/>
    </w:pPr>
    <w:rPr>
      <w:rFonts w:ascii="Calibri" w:hAnsi="Calibri" w:eastAsia="宋体" w:cs="Times New Roman"/>
    </w:rPr>
  </w:style>
  <w:style w:type="paragraph" w:styleId="11">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12">
    <w:name w:val="Body Text 2"/>
    <w:basedOn w:val="1"/>
    <w:next w:val="3"/>
    <w:qFormat/>
    <w:uiPriority w:val="0"/>
    <w:pPr>
      <w:spacing w:after="120" w:line="480" w:lineRule="auto"/>
    </w:pPr>
  </w:style>
  <w:style w:type="character" w:styleId="15">
    <w:name w:val="Hyperlink"/>
    <w:basedOn w:val="14"/>
    <w:uiPriority w:val="0"/>
    <w:rPr>
      <w:color w:val="0000FF"/>
      <w:u w:val="single"/>
    </w:rPr>
  </w:style>
  <w:style w:type="character" w:customStyle="1" w:styleId="16">
    <w:name w:val="font12"/>
    <w:basedOn w:val="14"/>
    <w:qFormat/>
    <w:uiPriority w:val="0"/>
    <w:rPr>
      <w:rFonts w:hint="eastAsia" w:ascii="仿宋" w:hAnsi="仿宋" w:eastAsia="仿宋" w:cs="仿宋"/>
      <w:b/>
      <w:bCs/>
      <w:color w:val="000000"/>
      <w:sz w:val="24"/>
      <w:szCs w:val="24"/>
      <w:u w:val="none"/>
    </w:rPr>
  </w:style>
  <w:style w:type="character" w:customStyle="1" w:styleId="17">
    <w:name w:val="font111"/>
    <w:basedOn w:val="14"/>
    <w:qFormat/>
    <w:uiPriority w:val="0"/>
    <w:rPr>
      <w:rFonts w:hint="eastAsia" w:ascii="宋体" w:hAnsi="宋体" w:eastAsia="宋体" w:cs="宋体"/>
      <w:color w:val="000000"/>
      <w:sz w:val="22"/>
      <w:szCs w:val="22"/>
      <w:u w:val="none"/>
    </w:rPr>
  </w:style>
  <w:style w:type="character" w:customStyle="1" w:styleId="18">
    <w:name w:val="font122"/>
    <w:basedOn w:val="14"/>
    <w:qFormat/>
    <w:uiPriority w:val="0"/>
    <w:rPr>
      <w:rFonts w:hint="eastAsia" w:ascii="仿宋" w:hAnsi="仿宋" w:eastAsia="仿宋" w:cs="仿宋"/>
      <w:color w:val="000000"/>
      <w:sz w:val="24"/>
      <w:szCs w:val="24"/>
      <w:u w:val="none"/>
    </w:rPr>
  </w:style>
  <w:style w:type="character" w:customStyle="1" w:styleId="19">
    <w:name w:val="font221"/>
    <w:basedOn w:val="14"/>
    <w:qFormat/>
    <w:uiPriority w:val="0"/>
    <w:rPr>
      <w:rFonts w:hint="eastAsia" w:ascii="仿宋" w:hAnsi="仿宋" w:eastAsia="仿宋" w:cs="仿宋"/>
      <w:color w:val="000000"/>
      <w:sz w:val="20"/>
      <w:szCs w:val="20"/>
      <w:u w:val="none"/>
      <w:vertAlign w:val="subscript"/>
    </w:rPr>
  </w:style>
  <w:style w:type="paragraph" w:customStyle="1" w:styleId="20">
    <w:name w:val="列出段落1"/>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1997</Words>
  <Characters>2333</Characters>
  <Lines>0</Lines>
  <Paragraphs>0</Paragraphs>
  <TotalTime>89</TotalTime>
  <ScaleCrop>false</ScaleCrop>
  <LinksUpToDate>false</LinksUpToDate>
  <CharactersWithSpaces>2365</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2023-06-16T02:53:00Z</dcterms:created>
  <dc:creator>Administrator</dc:creator>
  <cp:lastModifiedBy>Administrator</cp:lastModifiedBy>
  <dcterms:modified xsi:type="dcterms:W3CDTF">2026-11-03T07:27:50Z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E2998739EB744DF798B4578CEF13DF38_13</vt:lpwstr>
  </property>
</Properties>
</file>